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P/23643/2022 vom 1. März 2023</w:t>
      </w:r>
    </w:p>
    <w:p>
      <w:r>
        <w:t>GE Cour de justice, 2023-03-01, FR</w:t>
      </w:r>
    </w:p>
    <w:p>
      <w:r>
        <w:rPr>
          <w:b/>
        </w:rPr>
        <w:t xml:space="preserve">Quelle: </w:t>
      </w:r>
      <w:r>
        <w:t>https://mcp.opencaselaw.ch/entscheid/ge_gerichte_P_23643_2022</w:t>
      </w:r>
    </w:p>
    <w:p>
      <w:r>
        <w:t>FR: GE_GERICHTE P/23643/2022 du 1 mars 2023</w:t>
      </w:r>
    </w:p>
    <w:p>
      <w:r>
        <w:t>IT: GE_GERICHTE P/23643/2022 del 1 marzo 2023</w:t>
      </w:r>
    </w:p>
    <w:p>
      <w:pPr>
        <w:pStyle w:val="Heading2"/>
      </w:pPr>
      <w:r>
        <w:t>Regeste</w:t>
      </w:r>
    </w:p>
    <w:p>
      <w:r>
        <w:t>MESURE DE SUBSTITUTION À LA DÉTENTION;PROPORTIONNALITÉ;RISQUE DE RÉCIDIVE;RÉVOCATION(EN GÉNÉRAL) | CPP.237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recours s’avère fondé et doit être admis. La décision attaquée sera réformée (art. 397 al. 2 CPP), en ce sens que seront ordonnées les mesures de substitution instituées par le TMC le 13 janvier 2023 et qu’elles prendront effet à la date du présent arrêt, pour une durée de six mois (ATF 141 IV 190 consid. 3.3. p. 193). ![endif]&gt;![if&gt;</w:t>
      </w:r>
    </w:p>
    <w:p>
      <w:r>
        <w:rPr>
          <w:b/>
        </w:rPr>
        <w:t>E. 4</w:t>
      </w:r>
    </w:p>
    <w:p>
      <w:r>
        <w:t>Le recourant, qui a gain de cause, ne supportera pas de frais (art. 428 al. 1 CPP et 13 al. 1 du Règlement fixant le tarif des frais en matière pénale, RTFMP ; E 4 10.03). ![endif]&gt;![if&gt;</w:t>
      </w:r>
    </w:p>
    <w:p>
      <w:r>
        <w:rPr>
          <w:b/>
        </w:rPr>
        <w:t>E. 5</w:t>
      </w:r>
    </w:p>
    <w:p>
      <w:r>
        <w:t>L’indemnité de son défenseur d’office sera fixée à la fin de la procédure (art. 135 al. 2 CPP), d’autant plus qu’il n’y a pas été conclu à titre anticipé ou intermédiaire.![endif]&gt;![if&gt;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