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P/23638/2020 vom 15. September 2023</w:t>
      </w:r>
    </w:p>
    <w:p>
      <w:r>
        <w:t>GE Cour de justice, 2023-09-15, FR</w:t>
      </w:r>
    </w:p>
    <w:p>
      <w:r>
        <w:rPr>
          <w:b/>
        </w:rPr>
        <w:t xml:space="preserve">Quelle: </w:t>
      </w:r>
      <w:r>
        <w:t>https://mcp.opencaselaw.ch/entscheid/ge_gerichte_P_23638_2020</w:t>
      </w:r>
    </w:p>
    <w:p>
      <w:r>
        <w:t>FR: GE_GERICHTE P/23638/2020 du 15 septembre 2023</w:t>
      </w:r>
    </w:p>
    <w:p>
      <w:r>
        <w:t>IT: GE_GERICHTE P/23638/2020 del 15 settembre 2023</w:t>
      </w:r>
    </w:p>
    <w:p>
      <w:pPr>
        <w:pStyle w:val="Heading2"/>
      </w:pPr>
      <w:r>
        <w:t>Regeste</w:t>
      </w:r>
    </w:p>
    <w:p>
      <w:r>
        <w:t>PRISE D'OTAGES | CP.185; LCR.95.al1.letE; CP.49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Les déclarations de la victime constituent un élément de preuve. Le juge doit, dans l'évaluation globale de l'ensemble des éléments probatoires rassemblés au dossier, les apprécier librement (arrêts du Tribunal fédéral 6B_366/2021 du 26 janvier 2022 consid. 2.1 ; 6B_579/2021 du 29 novembre 2021 consid. 1.1 ; 6B_332/2020 du 9 juin 2020 consid. 3.2 et les références citées).</w:t>
      </w:r>
    </w:p>
    <w:p>
      <w:r>
        <w:rPr>
          <w:b/>
        </w:rPr>
        <w:t>E. 2.3</w:t>
      </w:r>
    </w:p>
    <w:p>
      <w:r>
        <w:t>À teneur de l’art. 185 ch. 1 CP, quiconque séquestre, enlève une personne ou de toute autre façon s’en rend maître, pour contraindre un tiers à faire, à ne pas faire ou à laisser faire un acte est puni d’une peine privative de liberté d’un an au moins. L’infraction est caractérisée par une double atteinte à la liberté : d’une part, une privation de liberté de l’otage, identique à celle de l’art. 183 CP réprimant la séquestration et l’enlèvement, d’autre part une atteinte à la liberté de décision de la personne que l’auteur veut contraindre. Elle se présente donc à la fois comme une privation de liberté aggravée et comme une contrainte qualifiée, même si la séquestration et l’enlèvement ne constituent que des moyens parmi d’autres permettant à l’auteur, selon l’énoncé légal, de se rendre maître de l’otage (A. MACALUSO / L. MOREILLON / N. QUELOZ [éds], Commentaire romand, Code pénal vol. II, Partie spéciale : art. 111-392 CP, Bâle 2017, n. 2 ad art. 185 CP). Il y a prise d'otage du point de vue objectif, lorsque l'auteur s'est rendu maître de la personne de l'otage. Pour ce qui est du point de vue subjectif de l'infraction de prise d'otage, il suffit, en dehors de l'intention, qu'il existe un dessein de contraindre un tiers à avoir un certain comportement. L'auteur n'a pas besoin d'avoir fait connaître ses exigences ni manifesté ses menaces quant au sort de l'otage (ATF 121 IV 162 consid. 1e ; arrêt du Tribunal fédéral 6B_163/2015 du 31 mars 2015 consid. 1.4).</w:t>
      </w:r>
    </w:p>
    <w:p>
      <w:r>
        <w:rPr>
          <w:b/>
        </w:rPr>
        <w:t>E. 2.4</w:t>
      </w:r>
    </w:p>
    <w:p>
      <w:r>
        <w:t>Conformément à l'art. 25 CP, la peine est atténuée à l'égard de quiconque a intentionnellement prêté assistance à l'auteur pour commettre un crime ou un délit.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 121 IV 109 consid. 3a ; arrêt du Tribunal fédéral 6B_72/2009 du 20 mai 2009 consid. 2.1). Subjectivement, le complice doit avoir l'intention de favoriser la commission, mais le dol éventuel suffit (ATF 121 IV 109 consid. 3a ; 118 IV 309 consid. 1a).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 121 IV 109 consid. 3a ; arrêt du Tribunal fédéral 6B_72/2009 du 20 mai 2009 consid. 2.1). L'assistance prêtée par le complice peut être matérielle, intellectuelle ou consister en une simple abstention. La complicité par omission suppose toutefois une obligation juridique d'agir, autrement dit une position de garant (ATF 132 IV 49 consid. 1.1 ; 121 IV 109 consid. 3a ; arrêt du Tribunal fédéral 6B_72/2009 du 20 mai 2009 consid. 2.1).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136 IV 188 consid. 6.2 p. 191 ss ; 134 IV 255 consid. 4.2.1 ; arrêt du Tribunal fédéral 6B_696/2012 du 8 mars 2013 consid. 7.1). Contrairement au coauteur, le complice ne veut pas l'infraction pour sienne et n'est pas prêt à en assumer la responsabilité.</w:t>
      </w:r>
    </w:p>
    <w:p>
      <w:r>
        <w:rPr>
          <w:b/>
        </w:rPr>
        <w:t>E. 2.5</w:t>
      </w:r>
    </w:p>
    <w:p>
      <w:r>
        <w:t>L'art. 95 al. 1 let. e LCR prévoit qu'est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Conformément aux règles générales, agit intentionnellement quiconque commet un crime ou un délit avec conscience et volonté (art. 12 al. 2 CP). La négligence est l'imprévoyance coupable commise par celui qui, ne se rendant pas compte des conséquences de son acte, agit sans user des précautions commandées par les circonstances et sa situation personnelle (art. 12 al. 3 CP). Dans toutes les hypothèses visées à l'art. 95 al. 1 LCR, la règle de l'art. 100 al. 1 première phrase LCR s'applique sans restriction, de sorte que la négligence, comme l'intention, sont réprimées (Y. JEANNERET, Les dispositions pénales de la Loi sur la circulation routière (LCR), Berne 2007, n° 43 ad art. 95). Dans le contexte de l'art. 95 al. 1 let. e LCR, l'auteur agit intentionnellement lorsqu'il sait que le conducteur auquel il cède l'usage de son véhicule n'est pas titulaire du permis requis et qu'en dépit de cela, il lui remet un pouvoir de disposer de ce véhicule (Y. JEANNERET, op. cit, n° 45 ad art. 95). La négligence se traduit quant à elle par une conscience erronée portant sur le contenu du permis de conduire d'un tiers. L'auteur a une obligation générale de se renseigner activement, obligation qui est toujours satisfaite s'il se fait produire le permis de conduire de l'intéressé. L'obligation de contrôler le contenu du permis de conduire sera très stricte lorsque l'auteur ne connaît pas le conducteur - on pense au loueur de voiture ou au moniteur d'auto-école - et pourra être atténuée, voire supprimée lorsque les rapports particuliers - proches, familiers, amis, collègues de travail - existant entre l'auteur et le conducteur sont tels que le premier est en droit de se fier de bonne foi aux assurances qui lui sont faites par le conducteur. L'erreur dans laquelle se trouve l'auteur est toujours évitable, et partant l'infraction punissable par négligence, lorsqu'il n'a pas satisfait à son devoir de vérification du permis du tiers alors qu'il était exigible compte tenu des circonstances (A. BUSSY / B. RUSCONI / Y. JEANNERET / A. KUHN / C. MIZEL / CH. MÜLLER, Code suisse de la circulation routière : commentaire, 4 e éd., Lausanne 2015, p. 949 ad art. 95 ; Y. JEANNERET, op. cit, n° 48 ad art. 95). 2.6.1. En l’espèce, les versions de l’appelant, de l’auteur principal de la prise d’otage et de la victime divergent. L’auteur principal a nié tout acte illicite, mais n’a pas fait appel de sa condamnation. Sa version des faits est donc, par définition, lacunaire. La version de la victime, recueillie moins de trois heures après les faits, apparaît particulièrement crédible. Elle s’est exprimée de façon claire, calme et précise, n’hésitant pas à reprendre l’inspectrice qui menait l’audition lorsque celle-ci se trompait (C-136). Elle n’a pu échanger plus que quelques instants avec sa mère et sa sœur : or, leurs propos sont globalement similaires. Contrairement à ce qu’a soutenu la défense, on ne distingue pas de contradiction fondamentale entre la version donnée à la police et celle fournie à l’audience de confrontation. Certaines questions n’ont été posées que lors de cette dernière (par exemple sur la possibilité de sortir du véhicule) et il n’est donc pas surprenant que certains éléments n’apparaissent que lors de l’une ou l’autre audition. La victime ne connaissait aucun des protagonistes avant les faits et n’avait aucune raison de désigner plutôt l’un que l’autre, ni d’ailleurs de « charger » l’appelant ou son comparse. Elle désigne clairement les deux personnes qui l’ont abordée, distinguant selon les phases le rôle de chacun ou en les désignant collectivement, notamment lorsqu’elle a été contrainte de les accompagner à leur véhicule ou lorsqu’elle décrit comment elle craignait qu’ils ne fassent quelque chose (« ils insistaient » C-117-118 ; « c’est comme si … ils me poussaient … deux grands comme ça… » C-122 ; « ils ont fermé leurs portes » C-124 ; « ils vont faire un truc » C-127 ; etc.). Cette version est par ailleurs corroborée par les messages échangés, qui démontrent les pressions exercées (supra B.c.), ainsi que par les déclarations de la sœur et de la mère de la victime. Les constatations des policiers – qui ont recueilli la victime en pleurs à son retour chez elle – comme les propres déclarations de l’appelant – qui admet que la victime a eu peur et pleurait dans le véhicule confirment encore ses explications. Sa crédibilité est ainsi singulièrement forte. En regard de cette version, celle de l’appelant, qui se contente pour l’essentiel de nier avoir exercé toute contrainte tout en admettant le déroulement factuel, n’emporte pas conviction. L’appelant savait, bien avant de rencontrer la victime, que son comparse était énervé et en voulait à la sœur de cette dernière. Il a vu l’auteur principal en possession (pour le moins incongrue) d’une paire de chaussures (appartenant à la victime ou sa sœur) ; il l’a vu arracher le téléphone des mains de la jeune fille, alors qu’il est notoire que cet objet est d’une grande importance pour une adolescente et l’appelant n’a pu que comprendre ce geste comme un moyen de contrainte, auquel il ne s’est pas opposé. Surtout, il a accompagné son comparse jusqu’au véhicule. Le prétexte de ce déplacement (charger le téléphone) ne résiste pas à l’examen : la victime se trouvait devant son immeuble et n’avait nul besoin de charger son téléphone pour contacter sa sœur, puisqu’il lui suffisait de rentrer chez elle. L’appelant n’avait aucune raison de suivre son comparse dans cette démarche. Il n’avait surtout aucun motif de monter dans le véhicule, sinon celui de renforcer la pression mise sur la victime pour y entrer et ensuite obéir à l’auteur principal ; il est conforme à l’expérience générale de la vie que la présence de deux adultes, l’un devant, l’autre derrière, est intimidante pour une adolescente, ce que l’appelant ne pouvait pas ignorer. L’absence de résultat (qui équivaut en l’occurrence à un résultat négatif) du prélèvement effectué sur la veste de la victime est sans pertinence à ce stade. Elle ne signifie pas que tout contact doive être exclu, ce d'autant que le geste décrit est particulièrement bref. Au surplus, même en l’absence de tout contact physique, la présence de l’appelant, contribuant à prendre la victime en tenaille entre l’auteur principal et lui pour la faire entrer dans le véhicule, exerçait déjà une pression importante sur elle, comme elle l’a expliqué lors de son audition. La victime décrit clairement la séquence d’entrée des protagonistes dans le véhicule, soit elle en premier, puis l’appelant (par la porte du conducteur) et enfin l’auteur principal ; cet ordre paraît logique dans le contexte des faits. Cet élément n’est pas central, mais contribue à la contrainte ; en tout état de cause, même si par hypothèse l’appelant était entré dans le véhicule avant elle, comme il le soutient, l’ensemble des circonstances de l’espèce confirme qu’elle n’y est pas entrée de son plein gré. L’appelant nie certes avoir parlé dans le véhicule et ainsi contribué à la contrainte exercée sur la victime pour qu’elle fasse venir sa sœur. Or, la victime a été constante à ce sujet ; certains messages Snapchat font d’ailleurs mention de plusieurs personnes. La plaignante a décrit clairement les propos de l’appelant, une fois à bord du véhicule, qui ont contribué à la maintenir dans la crainte, y-compris la manière dont il a signalé la présence de la police. Il s’agissait de personnel en uniforme, facilement visibles ; si la plaignante a précisé que son frère accompagnait les gendarmes, elle ne met pas cette précision dans la bouche de l’appelant. Cette version emporte conviction, la victime n’ayant aucun intérêt à mentir sur ce point – surtout aussi vite après les faits – et ayant, sur ces aspects aussi, clairement désigné l’appelant. Une confusion avec l’auteur principal n’entre pas en ligne de compte. Le lieu et l’heure à laquelle se sont déroulés les événements – effectivement en pleine rue à une heure d’activité – sont sans pertinence : les faits se sont passés rapidement et il n’est pas surprenant qu’aucun passant – pour autant qu’il y en ait eu un, ce qui n’est pas établi – n’ait réagi. Certes, l’appelant ne s’est pas adressé à la sœur de la victime et n’a pas directement participé à l’atteinte à la liberté de décision de celle-ci. Il a néanmoins joué un rôle déterminant dans la privation de liberté de la victime elle-même, en sachant pertinemment que son comparse cherchait par ce biais à contraindre la sœur de la victime à venir à sa rencontre. Il ne s’est ainsi pas contenté d’assister passivement aux agissements de son comparse mais y a contribué de façon déterminante. Le fait que la victime ait finalement pu quitter le véhicule est sans portée sur les circonstances dans lesquelles elle y est entrée et restée, étant relevé que sa privation de liberté a duré, aux dires de l’auteur principal, une vingtaine de minutes, ce qui correspond à la chronologie ci-dessus, qui permet d’établir que la victime a été abordée par les deux hommes avant 16h43 et libérée vers 17h00. L’appelant a donc joué un rôle causal dans l’infraction de prise d’otage et le verdict de culpabilité pour complicité de cette infraction doit être confirmé. 2.6.2. L’appelant déclare avoir ignoré que son comparse n’était pas titulaire d’un permis de conduire et s’être fié aux apparences. Compte tenu des circonstances de l’espèce, notamment de la location d’un véhicule luxueux et cher, par ses soins, pour le mettre à disposition de son comparse, alors que des relations privilégiées existaient entre ce dernier et le loueur, il aurait été plus logique que le contrat de location soit conclu directement entre eux. Du fait que son comparse lui a lui-même demandé de signer le contrat et qu’il ne le connaissait que depuis quelques jours, l’appelant ne pouvait pas se contenter de se fier aux apparences et il lui incombait, à tout le moins, de lui demander s’il remplissait bien les conditions pour conduire, ce qu’il n’a pas fait. Il faut dès lors retenir que l’appelant a bien contrevenu à l’art. 95 al. 1 let. e LCR, à tout le moins par négligence, en permettant à son comparse de prendre le volant le 25 novembre 2020. Le verdict de culpabilité sur ce point sera également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Cette disposition ne prévoit aucune exception. Le prononcé d'une peine unique dans le sens d'un examen global de tous les délits à juger n'est pas possible (ATF 145 IV 1 consid. 1.4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3.3</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 ATF 138 IV 113 consid. 3.4.1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 JdT 2017 IV 221 ; SJZ/RSJ 112/2016 ; AJP 2017 ; AARP/49/2017 du 10 février 2017 consid. 3.2.1 à 3.2.3 ; ATF 142 IV 265 consid. 2.3.3 = JdT 2017 IV 129 ; ATF 141 IV 61 consid. 6.1.2 ; arrêt du Tribunal fédéral 6B_623/2016 du 25 avril 2017 consid. 1.1 et 1.4).</w:t>
      </w:r>
    </w:p>
    <w:p>
      <w:r>
        <w:rPr>
          <w:b/>
        </w:rPr>
        <w:t>E. 3.4</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 7 septembre 2015 consid. 1.2).</w:t>
      </w:r>
    </w:p>
    <w:p>
      <w:r>
        <w:rPr>
          <w:b/>
        </w:rPr>
        <w:t>E. 3.5</w:t>
      </w:r>
    </w:p>
    <w:p>
      <w:r>
        <w:t>Aux termes de l'art. 42 al. 1 CP, le juge suspend en règle générale l'exécution d'une peine pécuniaire ou d'une peine privative de liberté de deux ans au plus lorsqu'une peine ferme ne paraît pas nécessaire pour détourner l'auteur d'autres crimes ou délits.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w:t>
      </w:r>
    </w:p>
    <w:p>
      <w:r>
        <w:rPr>
          <w:b/>
        </w:rPr>
        <w:t>E. 3.6</w:t>
      </w:r>
    </w:p>
    <w:p>
      <w:r>
        <w:t>En l’espèce, la faute de l’appelant est importante. Il s’en est pris à la liberté d’une mineure et, à deux reprises, à la sécurité routière. Sa situation personnelle n’explique pas son comportement ; comme il le souligne lui-même, il n’avait pas de raison de prendre fait et cause pour son comparse qu’il ne connaissait pas de longue date. Il a agi par complaisance et facilité, prêtant assistance à son comparse au détriment d’une jeune fille durablement marquée par les faits. Au vu de la gravité des faits et de l’absence de prise de conscience, seule une peine privative de liberté entre en ligne de compte pour la complicité de prise d’otage, afin d’une part de sanctionner adéquatement la gravité de la faute et d’autre part de remplir efficacement la fonction dissuasive du prononcé d’une sanction. En revanche, les infractions à la LCR peuvent adéquatement être sanctionnées par une peine pécuniaire, laquelle devra être fixée en tenant compte de celle prononcée le 31 août 2022 par le MP, les infractions concernées entrant en concours rétrospectif.</w:t>
      </w:r>
    </w:p>
    <w:p>
      <w:r>
        <w:rPr>
          <w:b/>
        </w:rPr>
        <w:t>E. 3.6.1</w:t>
      </w:r>
    </w:p>
    <w:p>
      <w:r>
        <w:t>En ce qui concerne la complicité de prise d’otage, les développements du premier juge relatifs à la fixation de la peine, qui n’ont fait l’objet d’aucune critique de l’appelant, emportent conviction. La peine privative de liberté doit être arrêtée à un an et réduite à sept mois pour tenir compte du statut de complice du prévenu.</w:t>
      </w:r>
    </w:p>
    <w:p>
      <w:r>
        <w:rPr>
          <w:b/>
        </w:rPr>
        <w:t>E. 3.6.2</w:t>
      </w:r>
    </w:p>
    <w:p>
      <w:r>
        <w:t>Les trois infractions à la LCR retenues à l’encontre de l’appelant sont passibles d’une peine privative de liberté de trois ans au plus ou d’une peine pécuniaire. L’infraction la plus grave est celle déjà sanctionnée par le MP. Si la Cour de céans avait été appelée à sanctionner l’ensemble des faits elle aurait ainsi fixé la peine de base à 60 jours amende pour cette infraction et l’aurait aggravée de 15 jours à chaque fois (peine théorique 30 jours) pour chacune des infractions à l’art. 95 LCR. C’est donc une peine complémentaire de 30 jours-amende qui sera prononcée, la valeur du jour-amende étant calquée sur celle retenue le 31 août 2022 soit CHF 40.-.</w:t>
      </w:r>
    </w:p>
    <w:p>
      <w:r>
        <w:rPr>
          <w:b/>
        </w:rPr>
        <w:t>E. 3.6.3</w:t>
      </w:r>
    </w:p>
    <w:p>
      <w:r>
        <w:t>Le bénéfice du sursis est acquis à l’appelant. La durée du d’épreuve fixée par le premier juge est adéquate et sera confirmée. L’appel sera donc partiellement admis et la peine prononcée modifiée dans le sens de ce qui précède.</w:t>
      </w:r>
    </w:p>
    <w:p>
      <w:r>
        <w:rPr>
          <w:b/>
        </w:rPr>
        <w:t>E. 4</w:t>
      </w:r>
    </w:p>
    <w:p>
      <w:r>
        <w:t>4.1.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prise d’otage (let. g).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4.2</w:t>
      </w:r>
    </w:p>
    <w:p>
      <w:r>
        <w:t>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du 24 octobre 2007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w:t>
      </w:r>
    </w:p>
    <w:p>
      <w:r>
        <w:rPr>
          <w:b/>
        </w:rPr>
        <w:t>E. 4.3</w:t>
      </w:r>
    </w:p>
    <w:p>
      <w:r>
        <w:t>En l’espèce, l’appelant se prévaut de liens avec la Suisse alors qu’il n’y réside pas et a tout au plus des parents éloignés vivant dans notre pays. Il se prévaut également de liens avec une communauté religieuse, dont il admet qu’il la fréquentait jusque récemment uniquement par le biais des réseaux sociaux. Ces circonstances ne fondent à l’évidence pas un cas de rigueur au sens de l’art. 66a al. 2 CP et il n’y a aucune raison de renoncer au prononcé de l’expulsion qui sera partant confirmée.</w:t>
      </w:r>
    </w:p>
    <w:p>
      <w:r>
        <w:rPr>
          <w:b/>
        </w:rPr>
        <w:t>E. 4.4</w:t>
      </w:r>
    </w:p>
    <w:p>
      <w:r>
        <w:t>Il n'y a pas lieu d'étendre la mesure d'expulsion prononcée à l'ensemble de l'espace Schengen, le prévenu étant ressortissant d'un État membre.</w:t>
      </w:r>
    </w:p>
    <w:p>
      <w:r>
        <w:rPr>
          <w:b/>
        </w:rPr>
        <w:t>E. 5.1</w:t>
      </w:r>
    </w:p>
    <w:p>
      <w:r>
        <w:t>Conformément à l'art. 126 al. 1 let. a CPP, le tribunal statue également sur les conclusions civiles présentées lorsqu'il rend un verdict de culpabilité à l'encontre du prévenu.</w:t>
      </w:r>
    </w:p>
    <w:p>
      <w:r>
        <w:rPr>
          <w:b/>
        </w:rPr>
        <w:t>E. 5.2</w:t>
      </w:r>
    </w:p>
    <w:p>
      <w:r>
        <w:t>En l’espèce, l’appelant conclut au déboutement de la partie plaignante, sans motiver cette conclusion au-delà de l’acquittement plaidé. Dans la mesure où le verdict de culpabilité est intégralement confirmé, les prétentions civiles le seront également étant relevé que le montant alloué par le premier juge, dont l’appelant ne critique pas la quotité, est adéquat et conforme aux principes applicables à la réparation du tort moral.</w:t>
      </w:r>
    </w:p>
    <w:p>
      <w:r>
        <w:rPr>
          <w:b/>
        </w:rPr>
        <w:t>E. 6</w:t>
      </w:r>
    </w:p>
    <w:p>
      <w:r>
        <w:t>L'appelant, qui succombe pour l’essentiel, le jugement entrepris n’étant modifié qu’en ce qui concerne le type de peine prononcée pour certaines infractions, supportera le 80% des frais de la procédure d’appel envers l'État (art. 428 CPP).</w:t>
      </w:r>
    </w:p>
    <w:p>
      <w:r>
        <w:rPr>
          <w:b/>
        </w:rPr>
        <w:t>E. 7.1</w:t>
      </w:r>
    </w:p>
    <w:p>
      <w:r>
        <w:t>L'état de frais produit par M e B______, défenseure d'office de A______, satisfait globalement les exigences légales et jurisprudentielles régissant l'assistance judiciaire gratuite en matière pénale. La durée totale des entretiens avec son mandant sera néanmoins ramenée à une heure et demie, suffisante dans le contexte d’une procédure d’appel dans un dossier connu pour avoir été plaidé récemment et suivi dès le début de l’instruction. La durée d’étude du jugement de première instance sera par ailleurs écartée s’agissant d’une activité comprise dans le forfait, tout comme la rédaction de la déclaration d’appel qui n’a pas à être motivée . La rémunération de M e B______ sera partant arrêtée à CHF 1'593.40 correspondant à 2h10 d'activité au tarif de CHF 200.-/heure, 7h50 d’activité au tarif de CHF 110.-/heure plus la majoration forfaitaire de 10%, un forfait de déplacement en CHF 55.- et l'équivalent de la TVA au taux de 7.7% en CHF 113.90.</w:t>
      </w:r>
    </w:p>
    <w:p>
      <w:r>
        <w:rPr>
          <w:b/>
        </w:rPr>
        <w:t>E. 7.2</w:t>
      </w:r>
    </w:p>
    <w:p>
      <w:r>
        <w:t>L'état de frais produit par M e F______, conseil juridique gratuit de D______, satisfait globalement les exigences légales et jurisprudentielles régissant l'assistance judiciaire gratuite en matière pénale. La durée de préparation aux débats d’appel sera néanmoins ramenée à cinq heures, suffisante dans le contexte d’une procédure d’appel dans un dossier connu pour avoir été plaidé. La durée d’étude du jugement de première instance sera par ailleurs écartée s’agissant d’une activité comprise dans le forfait . La rémunération de M e F______ sera partant arrêtée à CHF 1'845.25 correspondant à 7h20 d'activité au tarif de CHF 200.-/heure, plus la majoration forfaitaire de 10%, un forfait de déplacement en CHF 100.- et l'équivalent de la TVA au taux de 7.7% en CHF 131.95.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