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P/23621/2015 vom 20. September 2018</w:t>
      </w:r>
    </w:p>
    <w:p>
      <w:r>
        <w:t>GE Cour de justice, 2018-09-20, FR</w:t>
      </w:r>
    </w:p>
    <w:p>
      <w:r>
        <w:rPr>
          <w:b/>
        </w:rPr>
        <w:t xml:space="preserve">Quelle: </w:t>
      </w:r>
      <w:r>
        <w:t>https://mcp.opencaselaw.ch/entscheid/ge_gerichte_P_23621_2015</w:t>
      </w:r>
    </w:p>
    <w:p>
      <w:r>
        <w:t>FR: GE_GERICHTE P/23621/2015 du 20 septembre 2018</w:t>
      </w:r>
    </w:p>
    <w:p>
      <w:r>
        <w:t>IT: GE_GERICHTE P/23621/2015 del 20 settembre 2018</w:t>
      </w:r>
    </w:p>
    <w:p>
      <w:pPr>
        <w:pStyle w:val="Heading2"/>
      </w:pPr>
      <w:r>
        <w:t>Regeste</w:t>
      </w:r>
    </w:p>
    <w:p>
      <w:r>
        <w:t>CPP.429.al1; CPP.429.al2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e éd. Zurich 2013, n. 6 ad art. 429). Encore faut-il que l'assistance d'un avocat ait été nécessaire, compte tenu de la complexité de l'affaire en fait ou en droit, et que le volume de travail de l'avocat était ainsi justifié (Message, ibid. ). Une partie de la doctrine prône qu'aussitôt qu'une procédure touchant à un crime, à un délit ou à une contravention n'est pas classée suite à l'audition du prévenu, celui-ci a droit à l'assistance d'un avocat (M. NIGGLI / M. HEER / H. WIPRÄCHTIGER (éds), Strafprozessordnung – Jugendstrafprozessordnung, Basler Kommentar StPO/JStPO , 2 e éd., Bâle 2014, n. 14 et 14a ad art. 429).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 arrêt du Tribunal fédéral 6B_387/2013 du 8 juillet 2013 consid. 2.1). Dans une affaire d'atteinte à l'honneur qui avait donné lieu à deux audiences d'instruction et à une tentative de conciliation, avant d'être classée, le Tribunal fédéral a jugé que les conditions d'application de l'art. 429 al. 1 let. a CPP n'étaient pas réunies (arrêt du Tribunal fédéral 6B_458/2014 du 25 septembre 2014 consid. 2.4). Il est parvenu à la solution inverse lorsque l'avocat avait été constitué pour faire opposition à une ordonnance pénale de 60 jours-amende avec sursis, soit une peine qui n'était " pas négligeable " (arrêt du Tribunal fédéral 6B_156/2014 du 30 juin 2014 consid. 2.3 ; ACPR/545/2014 du 20 novembre 2014).</w:t>
      </w:r>
    </w:p>
    <w:p>
      <w:r>
        <w:rPr>
          <w:b/>
        </w:rPr>
        <w:t>E. 2.1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6B_74/2017 du 21 avril 2017 consid. 2.1).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rPr>
          <w:b/>
        </w:rPr>
        <w:t>E. 2.2</w:t>
      </w:r>
    </w:p>
    <w:p>
      <w:r>
        <w:t>Selon l'art. 429 al. 1 let. a CPP, l'indemnité n'est pas limitée aux cas de défense obligatoire visés par l'art. 130 CPP. Elle entre aussi en considération en cas de refus d'entrer en matière (ATF 139 IV 241 ). Elle est en principe due par l'État (Message relatif à l'unification du droit de la procédure pénale (CPP) du 21 décembre 2005, FF 2006 1309), en vertu de sa responsabilité causale dans la conduite des procédures pénales (N. SCHMID, Schweizerische Strafprozessordnung : Praxiskommentar ,</w:t>
      </w:r>
    </w:p>
    <w:p>
      <w:r>
        <w:rPr>
          <w:b/>
        </w:rPr>
        <w:t>E. 2.3</w:t>
      </w:r>
    </w:p>
    <w:p>
      <w:r>
        <w:t>Les honoraires d'avocat se calculent selon le tarif local, à condition qu'ils restent proportionnés (N. SCHMID, Schweizerische Strafprozessordnung : Praxis-kommentar , 2 ème éd, Zurich 2013, n. 7 ad art. 429). Le juge dispose d'une marge d'appréciation à cet égard, mais ne devrait pas se montrer trop exigeant dans l'appréciation rétrospective qu'il porte sur les actes nécessaires à la défense du prévenu (M. NIGGLI / M. HEER / H. WIPRÄCHTIGER, op. cit ., n. 19 ad art. 429). Le Tribunal fédéral considère que, avec la doctrine majoritaire, l'indemnité visée par l'art. 429 al. 1 let. a CPP doit correspondre au tarif usuel du barreau applicable dans le canton où la procédure se déroule et englober la totalité des coûts de défense (ATF 142 IV 163 consid. 3 p. 162 ss ; arrêt du Tribunal fédéral 6B_392/2013 du</w:t>
      </w:r>
    </w:p>
    <w:p>
      <w:r>
        <w:rPr>
          <w:b/>
        </w:rPr>
        <w:t>E. 2.4</w:t>
      </w:r>
    </w:p>
    <w:p>
      <w:r>
        <w:t>En l'espèce, l'intimé a été impliqué il y a trois ans dans un accident de la circulation qui a provoqué tant des dommages matériels que des lésions corporelles au préjudice des deux protagonistes, lesquels ont déposé des plaintes pénales en raison des faits survenus, soutenant tous deux avoir respecté la signalisation lumineuse et, partant, n'avoir commis aucune faute. Le 3 octobre 2016, le MP a informé l'intimé de l'ouverture d'une procédure préliminaire à son encontre du chef de lésions corporelles simples par négligence, soit un délit (art. 10 al. 3 CP), lui indiquant qu'au vu des éléments figurant au dossier, l'infraction semblait avoir été commise et qu'il était passible d'une peine privative de liberté de trois ans au plus ou d'une peine pécuniaire. Le MP a également attiré l'attention de l'intimé sur ses droits (art. 158 CPP), en particulier celui d'être assisté d'un avocat de choix ou de demander la désignation d'un défenseur d'office (al. 1 let. c). Cette situation a conduit l'intimé à confier la défense de ses intérêts à M e B______ et à le rencontrer pour préparer sa défense, à réception de la demande du MP relative à sa situation personnelle, démarche annonçant une condamnation par ordonnance pénale. A ce stade déjà, l'assistance d'un avocat était justifiée, en application des principes jurisprudentiels exposés ci-dessus (ATF 138 IV 197 ), avec la précision que les situations exceptionnelles réservées par le Tribunal fédéral, comme un classement intervenant après une simple audition, ne sont ici pas réalisées. La procédure a ensuite connu plusieurs rebondissements, nécessitant de plaider tant sur le droit matériel que sur des questions de procédure (absorption ou non des infractions à l'art. 90 LCR en cas de poursuite fondée sur l'art. 125 CP, intervention dans le cadre du recours du MP à la CPR, contacts avec la cycliste et les assurances, acquittement plaidé au fond devant le Tribunal de police). Là encore, l'on ne saurait exiger d'un justiciable non juriste qu'il se défende seul, ce d'autant que le MP avait informé l'intimé de son droit à être assisté d'un avocat. L'intimé n'a joué aucun rôle dans le fait que la procédure a duré trois ans, durant lesquels il a dû comparaître à trois reprises et demander une dispense en vue de l'audience de plaidoiries du 16 mai 2018. Vu la nature de l'appel du MP, l'assistance d'un avocat est également justifiée à ce stade de la procédure. L'intimé ayant été acquitté, sans que la commission d'une faute sur le plan civil, qui aurait entraîné l'ouverture de la procédure, ne soit établie, ni même alléguée par le MP, il a droit à l'indemnisation de ses frais de défense pour la procédure de première instance. S'agissant du montant des honoraires facturés, il sied de relever que le tarif horaire appliqué, de CHF 400.-, est usuel et admis par la jurisprudence citée, ce que le MP ne conteste d'ailleurs pas. Il ne s'agit pas d'appliquer ici les directives du Service de l'assistance juridique, réservées à l'analyse de l'état de frais d'un défenseur d'office, mais d'apprécier les notes de frais et honoraires d'un avocat de choix, domaine dans lequel le juge dispose d'une plus grande marge d'appréciation, la jurisprudence citée ci-dessus lui recommandant de ne pas se montrer trop exigeant dans l'appréciation rétrospective qu'il porte sur les actes nécessaires à la défense d'un prévenu. Le MP n'a formulé aucune critique à propos de la note d'honoraires du 16 mai 2018, laquelle a été établie dans le respect des principes applicables en la matière, de sorte que le montant réclamé sera alloué. Le MP ne remet en cause qu'un montant de CHF 2'020.- dont il sollicite qu'il soit déduit de la note du 13 octobre 2017. Compte tenu des explications fournies par le conseil de l'intimé, l'entretien avec le client du 8 novembre 2016 était justifié par la demande de renseignements du MP sur la situation personnelle de celui-ci, annonciatrice d'une condamnation. Il en va de même des quelques prestations fournies du 19 décembre 2016 au 9 janvier 2017, vu le retrait de plainte de la cycliste et le mandat de comparution décerné par le MP. Enfin, des contacts avec la partie plaignante avant les débats de première instance peuvent se concevoir, ainsi que l'information des compagnies d'assurances concernées, au vu de l'ordonnance pénale rendue par le MP. Il doit ainsi être considéré que les prestations contestées, de peu d'ampleur, étaient admissibles dans le cadre d'une défense assurée par un avocat de choix, ce d'autant que celui-ci a obtenu l'acquittement de son client, critère à prendre en considération. L'appel du MP sera ainsi rejeté. 3. Vu l'issue de la procédure, les frais d'appel seront laissés à la charge de l'Etat (art. 428 CPP), ce qui conduit à l'indemnisation des frais de défense de l'intimé pour cette partie de la procédure par CHF 3'080.20, TVA à 7.7% comprise, montant non critiqué par le MP et conforme aux principes jurisprudentiels exposés plus haut. * * * * *</w:t>
      </w:r>
    </w:p>
    <w:p>
      <w:r>
        <w:rPr>
          <w:b/>
        </w:rPr>
        <w:t>E. 4</w:t>
      </w:r>
    </w:p>
    <w:p>
      <w:r>
        <w:t>novembre 2013 consid. 2.3). En effet, l'indemnisation prévue à l'art. 429 al. 1 let. a CPP tend à ce que l'État répare la totalité du dommage en relation avec la procédure pénale (Message, p. 1313).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 ACPR/112/2014 du 26 février 2014, renvoyant à SJ 2012 I 175 ; ACPR/279/2014 du 27 mai 2014, ACPR/21/2014 du 13 janvier 2014) ou de CHF 400.- ( ACPR/282/2014 du 30 mai 2014), notamment si l'avocat concerné avait lui-même calculé sa prétention à ce taux-là ( ACPR/377/2013 du 13 août 2013). L'indemnité selon l'art. 429 al. 1 let. a CPP concerne uniquement les frais de défense relatifs à un avocat de choix. Une réduction de l'indemnité fondée sur l'art. 429 al. 1 let. a CPP au motif qu'une partie pouvant prétendre à des dépens n'a pas, alors qu'elle eût été en droit de le faire, demandé l'assistance judiciaire, est exclue ( cf. arrêt du Tribunal fédéral 6B_1078/2014 du 9 février 2016 consid. 4.2). Il s'ensuit que l'autorité pénale ne peut appliquer le tarif horaire du défenseur d'office à un avocat de choix (arrêt du Tribunal fédéral 6B_385/2017 du 5 décembre 2017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