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P/23593/2024 vom 19. November 2024</w:t>
      </w:r>
    </w:p>
    <w:p>
      <w:r>
        <w:t>GE Cour de justice, 2024-11-19, FR</w:t>
      </w:r>
    </w:p>
    <w:p>
      <w:r>
        <w:rPr>
          <w:b/>
        </w:rPr>
        <w:t xml:space="preserve">Quelle: </w:t>
      </w:r>
      <w:r>
        <w:t>https://mcp.opencaselaw.ch/entscheid/ge_gerichte_P_23593_2024</w:t>
      </w:r>
    </w:p>
    <w:p>
      <w:r>
        <w:t>FR: GE_GERICHTE P/23593/2024 du 19 novembre 2024</w:t>
      </w:r>
    </w:p>
    <w:p>
      <w:r>
        <w:t>IT: GE_GERICHTE P/23593/2024 del 19 novembre 2024</w:t>
      </w:r>
    </w:p>
    <w:p>
      <w:pPr>
        <w:pStyle w:val="Heading2"/>
      </w:pPr>
      <w:r>
        <w:t>Regeste</w:t>
      </w:r>
    </w:p>
    <w:p>
      <w:r>
        <w:t>DÉTENTION PROVISOIRE;PROPORTIONNALITÉ;RISQUE DE COLLUSION;RISQUE DE RÉCIDIVE;CASIER JUDICIAIRE;RADIATION(EFFACEMENT) | CPP.221; CPP.197; CPP.212; CP.369; LCJ.34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 prononce pas sur les charges pesant à son encontre, lesquelles apparaissent suffisantes et se sont même renforcées au vu des déclarations de H______. Il n'y a donc pas lieu d'y revenir et il peut être intégralement renvoyé à la motivation adoptée par le premier juge sur ces aspects (art. 82 al. 4 CPP; ACPR/747/2020 du 22 octobre 2020 consid. 2 et les références).</w:t>
      </w:r>
    </w:p>
    <w:p>
      <w:r>
        <w:rPr>
          <w:b/>
        </w:rPr>
        <w:t>E. 3</w:t>
      </w:r>
    </w:p>
    <w:p>
      <w:r>
        <w:t>Le recourant conteste l'existence d'un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bien que les auditions des grands-parents maternels des enfants, de F______, de G______, de H______, de I______ et du frère du recourant soient déjà intervenues, le Ministère public pourrait être amené à devoir les confronter au recourant, selon ce que ce dernier déclarera lors de la prochaine audience appointée pour le 16 décembre 2024. Quant aux enfants du recourant, bien que le Ministère public ne le dise pas expressément, il laisse entendre qu'il pourrait être amené à les auditionner, malgré leur jeune âge, que ce soit lors d'une première audition EVIG, s'agissant de D______, ou lors d'une seconde audition EVIG en contradictoire, s'agissant de C______. Au vu des liens familiaux et des enjeux pour le recourant, il ne peut à ce stade être exclu que ce dernier prenne contact avec elles et tente d'influencer leurs déclarations. Ce risque est particulièrement concret vis-à-vis des enfants du recourant, que ce dernier pourrait chercher à approcher et à rallier à sa cause, quand bien même son droit de visite s'exercerait dans un espace protégé et médiatisé, cas échéant en les menaçant ou en exerçant sur eux des pressions de quelque autre nature que ce soit. Dans ces conditions, l'interdiction de contact apparaît insuffisante pour pallier ce risque concret de collusion, une telle mesure paraissant en outre particulièrement difficile à contrôler, compte tenu du nombre des personnes potentiellement concernées, et ne permettant pas, à ce stade, de pallier le risque d'atteinte à la recherche de la vérité. Le risque de collusion pourra donc être confirmé. Il appartiendra toutefois au Ministère public de se déterminer rapidement sur la suite de la procédure, plus particulièrement s'agissant de l'audition éventuelle des enfants, et de confronter le prévenu à l'une et/ou l'autre des autres personnes sus-évoquées, le cas échéant en procédant promptement aux auditions.</w:t>
      </w:r>
    </w:p>
    <w:p>
      <w:r>
        <w:rPr>
          <w:b/>
        </w:rPr>
        <w:t>E. 4</w:t>
      </w:r>
    </w:p>
    <w:p>
      <w:r>
        <w:t>Le recourant estime que les conditions pour un risque de réitération ne sont pas retenues.</w:t>
      </w:r>
    </w:p>
    <w:p>
      <w:r>
        <w:rPr>
          <w:b/>
        </w:rPr>
        <w:t>E. 4.1</w:t>
      </w:r>
    </w:p>
    <w:p>
      <w:r>
        <w:t>L'art. 221 al. 1 let. c CPP, relatif au risque de récidive, dans sa nouvelle teneur au 1 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(arrêt du Tribunal fédéral 7B_155/2024 du 5 mars 2024, destiné à la publication,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 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arrêts du Tribunal fédéral 7B_155/2024 susmentionné, consid. 3.2 et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4.3</w:t>
      </w:r>
    </w:p>
    <w:p>
      <w:r>
        <w:t>L'art. 369 aCP régissait l'élimination des inscriptions portées au casier judiciaire suisse jusqu'au 22 janvier 2023 (cf. consid. 3.3. ci-après). Selon son al. 7, 2 ème phrase, les jugements éliminés ne pouvaient plus être opposés à la personne concernée. Cette disposition prévoyait ainsi une interdiction d'utiliser les données éliminées du casier judiciaire. Il découlait de la volonté du législateur qu'en raison d'une réhabilitation complète, les jugements éliminés ne pouvaient pas être utilisés à charge de la personne concernée, que ce soit pour fixer la peine ou pour établir un pronostic (arrêt du Tribunal fédéral 6B_631/2021 du 7 février 2022 consid. 3.1.1). La jurisprudence rendue sous l'empire de l'art. 369 al. 7 aCP a apporté des exceptions à cette interdiction. Ainsi, les experts médicaux peuvent utiliser des informations contenues dans les dossiers de condamnations radiées et plus particulièrement les anciennes expertises. Des condamnations antérieures éliminées du casier judiciaire peuvent ainsi être utilisées pour apprécier la personnalité du prévenu, pour autant qu'elles ne constituent pas le seul critère des traits de personnalité (arrêts du Tribunal fédéral 6B_877/2014 du 5 novembre 2015 consid. 8.4 relatif à la conscience par le délinquant de son problème d'alcool et de violence et 6B_875/2009 du 22 mars 2009 consid. 2.4 concernant la propension à se livrer à des actes sexuels avec des enfants). Il convient dès lors de distinguer le pronostic réel (médical) et le pronostic légal (judiciaire). L'expertise doit clairement indiquer dans quelle mesure les anciens délits sont en rapport avec les nouveaux qui doivent être jugés (connexité) et comment ces éléments qui remontent loin se répercutent encore sur le pronostic médical réel contenu dans l'expertise (pertinence). De cette manière, il est aussi possible de garantir, pour le pronostic judiciaire, que d'éventuels pronostics défavorables ne soient pris en considération que dans la mesure des condamnations inscrites (ATF 135 IV 87 consid. 2.5 p. 92; arrêts du Tribunal fédéral 6B_154/2021 du 17 novembre 2021 consid. 2.1 et 6B_1339/2016 du 23 mars 2017 consid. 1.1.3). Par ailleurs, dans un arrêt récent rendu en matière d'internement, le Tribunal fédéral a relativisé la distinction entre le pronostic réel et le pronostic légal et admis que le juge peut prendre en considération, pour émettre un pronostic, les condamnations antérieures éliminées du casier judiciaire (arrêt du Tribunal fédéral 1B_589/2021 du 19 novembre 2021 consid. 5.4). Le 23 janvier 2023 est entrée en vigueur la Loi fédérale sur le casier judiciaire informatique VOSTRA (LCJ ; RS 330) abrogeant les 365 à 371a aCP (RO 2022 600). Cette loi traduit une volonté de réduire la portée du droit à l'oubli (Y.  JEANNERET, Le droit à l'oubli et l'envie de se souvenir, in Cimes et Châtiment: Mélanges en l'honneur du Pr Laurent Moreillon , Berne 2022, p. 209; A. MACALUSO / L. MOREILLON / N. QUELOZ (éds), Commentaire romand, Code pénal II, Partie spéciale: art. 111-392 CP , Bâle 2017, N. 4 ad Rem. prél. aux art. 365-371). Les délais d'élimination sont globalement allongés, tandis que certaines condamnations sont maintenues jusqu'à la mort du condamné. Ainsi l'art. 30 al. 2 let. c LCJ dispose que les condamnations à raison d'une liste d'infractions définies – dont l'art. 140 ch. 4 CP – perdurent jusqu'au décès du condamné. Cette réforme marque un rétrécissement du droit à l'oubli par rapport au droit actuel. Par ailleurs, l'interdiction d'utiliser les données éliminées du casier judiciaire figurant à l'art. 369 al. 7 2 ème phrase aCP n'a pas été reprise dans l'art. 34 al. 2 LCJ. Il ressort en effet de son message qu' " [a]près analyse approfondie de la jurisprudence et des résultats de la consultation, le Conseil fédéral renonce à une telle interdiction […]. Le fait qu'un expert ou un juge ait ou non le droit de prendre en considération une peine antérieure éliminée ne devrait pas découler d'une interdiction schématique fondée sur l'expiration d'un délai mais être laissé à la libre appréciation de l'expert médical ou du juge lui-même. La proportionnalité est garantie par le contrôle judiciaire de la décision (obligation de motiver cette dernière et garantie de l'accès au juge). Ce contrôle permet de s'assurer lorsque la sécurité publique entre en jeu, que des décisions objectivement correctes, également défendables sur le plan de la politique criminelle, soient prises. Si le but du futur casier judiciaire est d'offrir, notamment aux autorités de la justice pénale, une source d'informations plus importante et donc un meilleur outil afin non seulement de fixer les peines de manière plus précise mais aussi d'établir des pronostics fondés, une interdiction schématique d'utiliser les données éliminées est difficilement envisageable […]. [Le droit à l'oubli et la réhabilitation] sont préservés principalement par le fait qu'une inscription cesse de figurer sur les extraits du casier judiciaire – notamment l'extrait destiné aux particuliers – au bout d'un certain temps […]. Une interdiction schématique peut par contre empêcher un expert ou un juge qui doit établir un pronostic de procéder à une appréciation objective et appropriée de la situation. Le droit à l'oubli et la réhabilitation sont pris en considération dans la mesure où le lien de connexité et la pertinence de la condamnation antérieure doivent être démontrés minutieusement. Plus une condamnation est ancienne et moins l'infraction est grave, plus la motivation sera soumise à des exigences élevées" (FF 2014 5591).</w:t>
      </w:r>
    </w:p>
    <w:p>
      <w:r>
        <w:rPr>
          <w:b/>
        </w:rPr>
        <w:t>E. 4.4</w:t>
      </w:r>
    </w:p>
    <w:p>
      <w:r>
        <w:t>En l'espèce, aucune condamnation n'est inscrite au casier judiciaire du recourant. Il a toutefois été condamné en 2009 pour tentative de viol et violence ou menace contre les autorités ou les fonctionnaires, soit des infractions graves impliquant une atteinte à l'intégrité sexuelle, pour l'une, et à l'intégrité corporelle, pour l'autre. La question de savoir si, au vu de la suppression de l'art. 369 al. 7 aCP et à l'introduction de l'art. 34 LCJ, dont la teneur est différente, on peut encore lui opposer cette condamnation conformément à la jurisprudence sus-rappelée, peut toutefois souffrir de demeurer indécise au vu des considérations ci-après. Les faits pour lesquels le recourant a été mis en prévention sont graves, s'agissant d'actes de violence dirigés contre un enfant âgé de quatre ans, qui lui ont occasionné des lésions et sont par ailleurs susceptibles d'avoir mis en danger son développement physique et psychique. Le recourant ne le conteste d'ailleurs pas, puisqu'il indique partager la crainte des autorités, concédant par ailleurs que le risque de réitération pourrait être retenu s'il devait être reconnu coupable de ces agissements. Certes, plus aucune condamnation ne figure à l'extrait de son casier judiciaire. S'ajoute toutefois à ces faits particulièrement graves la consommation de stupéfiants et le fait que le recourant bénéficie actuellement d'un traitement psychologique, autant d'éléments venant renforcer le risque de réitération. Si le recourant conteste être l'auteur des lésions constatées sur le corps de C______, mettant en avant le principe de la présomption d'innocence, il sera relevé qu'à ce stade, le juge de la détention doit évaluer le risque de réitération en fonction de la solidité des charges et des indices permettant de redouter une récidive. En l'occurrence, les charges sont sérieuses et il existe un risque de récidive concret que le recourant, en liberté, ne commette des faits similaires pour les raisons sus-évoquées, risque qu'il y a lieu de prendre au sérieux au regard du bien juridique protégé. C'est donc à bon droit que le TMC, sans violer le principe de la présomption d'innocence, a considéré que le recourant présentait un risque de réitération. Les mesures de substitution proposées par le recourant, à savoir l'obligation de se conformer aux mesures prises par le TPAE et le SPMi, d'une part, et la poursuite de son traitement psychologique à sa sortie de détention, voire un suivi auprès de l'association VIRES, d'autre part, ne sont pas aptes à pallier ce risque.</w:t>
      </w:r>
    </w:p>
    <w:p>
      <w:r>
        <w:rPr>
          <w:b/>
        </w:rPr>
        <w:t>E. 5</w:t>
      </w:r>
    </w:p>
    <w:p>
      <w:r>
        <w:t>Le recourant invoque une violation du principe de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5.2</w:t>
      </w:r>
    </w:p>
    <w:p>
      <w:r>
        <w:t>En l'espèce, la prolongation de la détention provisoire jusqu'au 21 décembre 2024 s'avère nécessaire pour permettre au Ministère public et à la police de procéder aux divers actes annoncés dans la demande de prolongation de la détention provisoire. Certes, le TMC n'avait initialement ordonné la détention provisoire du recourant que pour une durée de six semaines, bien que le Ministère public l'eût requise pour trois mois. Cela n'empêchait toutefois pas cette autorité de solliciter, si elle l'estimait opportun, une prolongation de la détention au-delà de ces six semaines. Au vu des actes encore en cours, d'une part, et à la gravité des faits reprochés au recourant, d'autre part, la prolongation de sa détention provisoire jusqu'au 21 décembre 2024 n'apparait pas excessive et est par ailleurs parfaitement conforme au principe de la proportionnalité.</w:t>
      </w:r>
    </w:p>
    <w:p>
      <w:r>
        <w:rPr>
          <w:b/>
        </w:rPr>
        <w:t>E. 6</w:t>
      </w:r>
    </w:p>
    <w:p>
      <w:r>
        <w:t>Le recours s'avère ainsi infondé et doit être rejeté, rendant sans fondement la demande d'indemnisation du tort moral allégué.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