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P/23565/2025 vom 19. Oktober 2025</w:t>
      </w:r>
    </w:p>
    <w:p>
      <w:r>
        <w:t>GE Cour de justice, 2025-10-19, FR</w:t>
      </w:r>
    </w:p>
    <w:p>
      <w:r>
        <w:rPr>
          <w:b/>
        </w:rPr>
        <w:t xml:space="preserve">Quelle: </w:t>
      </w:r>
      <w:r>
        <w:t>https://mcp.opencaselaw.ch/entscheid/ge_gerichte_P_23565_2025</w:t>
      </w:r>
    </w:p>
    <w:p>
      <w:r>
        <w:t>FR: GE_GERICHTE P/23565/2025 du 19 octobre 2025</w:t>
      </w:r>
    </w:p>
    <w:p>
      <w:r>
        <w:t>IT: GE_GERICHTE P/23565/2025 del 19 ottobre 2025</w:t>
      </w:r>
    </w:p>
    <w:p>
      <w:pPr>
        <w:pStyle w:val="Heading2"/>
      </w:pPr>
      <w:r>
        <w:t>Regeste</w:t>
      </w:r>
    </w:p>
    <w:p>
      <w:r>
        <w:t>DÉTENTION PROVISOIRE;RISQUE DE COLLUSION | CPP.221; CPP.237</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En tant que le recourant, représenté par son conseil, critique, sans prendre de conclusions, la composition du TMC, ce grief est irrecevable, étant souligné qu’il n’appartient pas au justiciable de s’immiscer dans l’organisation des tribunaux ni de choisir la direction de sa procédure. En cas de désaccord avec la décision rendue, il appartient au prévenu de contester cette ordonnance par les voies de droit s'il l'estime justifié, ce qu’il a fait au demeurant.</w:t>
      </w:r>
    </w:p>
    <w:p>
      <w:r>
        <w:rPr>
          <w:b/>
        </w:rPr>
        <w:t>E. 2</w:t>
      </w:r>
    </w:p>
    <w:p>
      <w:r>
        <w:t>Le recourant invoque une violation de son droit d'être entendu, sous l'angle d'un défaut de motivation.</w:t>
      </w:r>
    </w:p>
    <w:p>
      <w:r>
        <w:rPr>
          <w:b/>
        </w:rPr>
        <w:t>E. 2.1</w:t>
      </w:r>
    </w:p>
    <w:p>
      <w:r>
        <w:t>Une autorité viole le droit d'être entendu découlant de l'art. 29 al. 2 Cst. lorsqu'elle ne respecte pas son obligation de motiver ses décisions afin que le justiciable puisse les comprendre et exercer ses droits de recours à bon escient (ATF 147 IV 409 consid. 5.3.4; 146 II 335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147 IV 249 consid. 2.4; 142 II 154 consid. 4.2; 139 IV 179 consid. 2.2). La motivation peut d'ailleurs être implicite et résulter des différents considérants de la décision (ATF 141 V 557 consid. 3.2.1; arrêt du Tribunal fédéral 7B_990/2023 du 3 avril 2024 consid. 2.1.1).</w:t>
      </w:r>
    </w:p>
    <w:p>
      <w:r>
        <w:rPr>
          <w:b/>
        </w:rPr>
        <w:t>E. 2.2</w:t>
      </w:r>
    </w:p>
    <w:p>
      <w:r>
        <w:t>En l'espèce, il n'apparaît pas que la motivation du premier juge sur les éléments topiques soit déficiente. Rien n'interdit en effet à l'autorité précédente de faire sienne la motivation présentée à l'appui d'une requête et celle-ci n'a notamment pas à la reprendre sous une forme différente de celle présentée par le Ministère public ( ACPR/280/2018 consid. 3). En tout état, la Chambre de céans dispose d'un plein pouvoir de cognition et le recourant a pu à nouveau faire valoir ses moyens ici, de sorte qu'une éventuelle violation de son droit d'être entendu serait quoi qu'il en soit considérée comme étant réparée. Partant, ce grief sera rejeté.</w:t>
      </w:r>
    </w:p>
    <w:p>
      <w:r>
        <w:rPr>
          <w:b/>
        </w:rPr>
        <w:t>E. 3</w:t>
      </w:r>
    </w:p>
    <w:p>
      <w:r>
        <w:t>Le recourant conteste l’existence de charges suffisantes, se prévalant en particulier de la prescription de la prévention à l’art. 118 CP.</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l’occurrence, le recourant est notamment prévenu pour avoir, en 2011, contraint son épouse à interrompre sa grossesse alors qu’elle était enceinte de cinq à six mois. Ces faits, réprimés par l’art. 118 al. 2 CP, sont passibles d’une peine privative de liberté de dix ans au plus, de sorte qu’ils ne sont pas prescrits. En outre, quoi qu’en dise le recourant, ces charges – toute comme celles en lien avec des violences domestiques et viols répétés – ne sauraient être exclues du seul fait que chacune des parties livre une version différente des événements. À ce stade de la procédure, le recourant est formellement mis en cause par son épouse, dont les déclarations sont corroborées par les premiers éléments médicaux et les déclarations de deux de ses enfants, D______ et E______, qui ont chacun fait part de violences exercées sur leur mère par leur père depuis plusieurs années. À cela s’ajoute que son fils, qui était présent lors de l’interruption de grossesse litigieuse, a confirmé que sa mère avait été contrainte de prendre des médicaments abortifs, avant que lui-même eût dû jeter le fœtus dans une poubelle. Ces éléments permettent, en l’état, de fonder des soupçons suffisants à l’encontre du recourant, malgré ses dénégations, étant souligné que les confrontations seront précisément destinées à éclaircir les prétendues incohérences dans les déclarations de ses proches. Partant, ce grief sera rejeté.</w:t>
      </w:r>
    </w:p>
    <w:p>
      <w:r>
        <w:rPr>
          <w:b/>
        </w:rPr>
        <w:t>E. 4</w:t>
      </w:r>
    </w:p>
    <w:p>
      <w:r>
        <w:t>Le recourant conteste l’existence d’un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l’enquête ne fait que commencer. Même si la plaignante et deux de ses enfants ont déjà été entendus par la police, tel n’est pas encore le cas de ses autres enfants, ni d’éventuelles personnes auxquelles elle se serait confiée et dont l’identité n’est pas encore établie. En outre, la confrontation entre le recourant et son épouse n’est pas encore intervenue et le Ministère public est dans l’attente des constats médicaux effectués sur chacun d’eux, soit autant d’éléments qui devraient permettre de déterminer quelle version serait la plus crédible, chacun soutenant être victime des violences de l’autre. Dans ce contexte, il est à craindre que le recourant prenne contact directement ou indirectement avec ses proches afin de faire pression sur eux et altère ainsi la manifestation de la vérité, étant rappelé que lors de l’intervention de la police, ceux-ci ont d’abord fait état de simples « bousculades » avant de dénoncer des violences de longue date. Le fait que les infractions soient poursuivies d’office n’est pas de nature à modifier ce constat. Il existe donc un risque de collusion concret et sérieux qu’il convient de prévenir en évitant toute influence du recourant sur le témoignage de ses proches ainsi que d’éventuelles représailles à leur encontre.</w:t>
      </w:r>
    </w:p>
    <w:p>
      <w:r>
        <w:rPr>
          <w:b/>
        </w:rPr>
        <w:t>E. 5</w:t>
      </w:r>
    </w:p>
    <w:p>
      <w:r>
        <w:t>L’admission de ce risque, indiscutable, dispense l'autorité de recours d'examiner si un risque de réitération – alternatif – existe également (arrêts du Tribunal fédéral 7B_144/2025 du 24 mars 2025 consid. 3.3; 7B_188/2024 du 12 mars 2024 consid. 6.3.1 et 1B_197/2023 du 4 mai 2023 consid. 4.5).</w:t>
      </w:r>
    </w:p>
    <w:p>
      <w:r>
        <w:rPr>
          <w:b/>
        </w:rPr>
        <w:t>E. 6</w:t>
      </w:r>
    </w:p>
    <w:p>
      <w:r>
        <w:t>Le recourant propose des mesures de substitution.</w:t>
      </w:r>
    </w:p>
    <w:p>
      <w:r>
        <w:rPr>
          <w:b/>
        </w:rPr>
        <w:t>E. 6.1</w:t>
      </w:r>
    </w:p>
    <w:p>
      <w:r>
        <w:t>Concrétisant le principe de la proportionnalité, l'art. 237 al. 1 CPP prévoit que le tribunal compétent ordonne une ou plusieurs mesures moins sévères en lieu et place de la détention si ces mesures permettent d'atteindre le même but que la détention. La liste de son al. 2 est exemplative et le juge de la détention peut également, le cas échéant, assortir les mesures de substitution de toute condition propre à en garantir l'efficacité (ATF 145 IV 503 consid. 3.1).</w:t>
      </w:r>
    </w:p>
    <w:p>
      <w:r>
        <w:rPr>
          <w:b/>
        </w:rPr>
        <w:t>E. 6.2</w:t>
      </w:r>
    </w:p>
    <w:p>
      <w:r>
        <w:t>En l’occurrence, aucune mesure de substitution ne permet, à ce stade précoce de la procédure, de prévenir le risque d’entrave à la vérité. Compte tenu des liens familiaux et de l’enjeu de la procédure pour le recourant, le seul engagement de l’intéressé de ne pas contacter son épouse et ses enfants ainsi que de prendre un domicile séparé, apparait clairement insuffisant. Il en est de même vis-à-vis de tiers encore non identifiés – étant souligné que l'interdiction d'entrer en contact au sens de l'art. 237 al. 2 let. g CPP ne peut en principe porter que sur des personnes déterminées (arrêts du Tribunal fédéral 1B_485/2019 du 12 novembre 2019 consid. 3.4.2; 1B_121/2019 du 8 avril 2019 consid. 4.4) –. Par ailleurs, l’obligation de se soumettre à un suivi psychothérapeutique ne serait propre qu'à prévenir le risque de récidive, non examiné ici.</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7.2</w:t>
      </w:r>
    </w:p>
    <w:p>
      <w:r>
        <w:t>En l’espèce, la durée de la détention provisoire ordonnée jusqu’au 16 janvier 2026 demeure proportionnée à la peine menace et concrètement encourue si le prévenu devait être reconnu coupable des faits graves qui lui sont reprochés.</w:t>
      </w:r>
    </w:p>
    <w:p>
      <w:r>
        <w:rPr>
          <w:b/>
        </w:rPr>
        <w:t>E. 8</w:t>
      </w:r>
    </w:p>
    <w:p>
      <w:r>
        <w:t>Le recours s'avère ainsi infondé et sera rejeté.</w:t>
      </w:r>
    </w:p>
    <w:p>
      <w:r>
        <w:rPr>
          <w:b/>
        </w:rPr>
        <w:t>E. 9</w:t>
      </w:r>
    </w:p>
    <w:p>
      <w:r>
        <w:t>Le recourant, qui succombe, supportera les frais envers l'État, qui comprendront un émolument de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