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P/23555/2017 vom 12. Dezember 2019</w:t>
      </w:r>
    </w:p>
    <w:p>
      <w:r>
        <w:t>GE Cour de justice, 2019-12-12, FR</w:t>
      </w:r>
    </w:p>
    <w:p>
      <w:r>
        <w:rPr>
          <w:b/>
        </w:rPr>
        <w:t xml:space="preserve">Quelle: </w:t>
      </w:r>
      <w:r>
        <w:t>https://mcp.opencaselaw.ch/entscheid/ge_gerichte_P_23555_2017</w:t>
      </w:r>
    </w:p>
    <w:p>
      <w:r>
        <w:t>FR: GE_GERICHTE P/23555/2017 du 12 décembre 2019</w:t>
      </w:r>
    </w:p>
    <w:p>
      <w:r>
        <w:t>IT: GE_GERICHTE P/23555/2017 del 12 dicembre 2019</w:t>
      </w:r>
    </w:p>
    <w:p>
      <w:pPr>
        <w:pStyle w:val="Heading2"/>
      </w:pPr>
      <w:r>
        <w:t>Regeste</w:t>
      </w:r>
    </w:p>
    <w:p>
      <w:r>
        <w:t>VITESSE MAXIMALE | LCR.90.al2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Cette disposition consacre le principe constitutionnel de la présomption d'innocence (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2.1.2.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105 Ib 114 consid. 1a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(arrêts du Tribunal fédéral 6B_914/2015 du 30 juin 2016 consid. 1.2; 6B_237/2015 du 16 février 2016 consid. 2.1).</w:t>
      </w:r>
    </w:p>
    <w:p>
      <w:r>
        <w:rPr>
          <w:b/>
        </w:rPr>
        <w:t>E. 2.2</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3.2 136).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123 II 106 consid. 2c et les références citées).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 Le Tribunal fédéral a en outre jugé que ces seuils s'appliquaient aux configurations classiques mais ne pouvaient être transposés sans autre aux portions de route sur lesquelles la vitesse était limitée pour des raisons de sécurité, une adaptation au type de route comparable devant être opérée dans un tel cas (arrêt du Tribunal fédéral 6B_444/2016 du 3 avril 2017 consid. 1.3.1).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(ATF 128 II 131 consid. 2b). C'est ainsi que le Tribunal fédéral a considéré qu'un tronçon d'autoroute limité à 80 km/h en raison de la présence d'un chantier et d'ouvriers, quand bien même les usagers disposaient de deux voies dans le même sens de marche, s'apparentait à une route hors localité (arrêt du Tribunal fédéral 6B_444/2016 du 3 avril 2017 consid. 1.3.1), de même qu'une sortie d'autoroute limitée à 60 km/h, en raison de la configuration qui, selon la végétation ou les constructions obstruant le passage, limite fortement la vue devant soi, augmentant de façon considérable le danger de collision en cas de bouchon (ATF 128 II 131 consid. 2b). Dans ces cas, le Tribunal fédéral a ainsi considéré que les dépassements de vitesse litigieux étaient supérieurs au seuil pour le cas grave hors localité et pouvaient par conséquent être objectivement qualifiés de grave, et cela sans égard aux circonstances concrètes du cas (bonnes conditions de circulation, bonne réputation du conducteur, etc.). 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w:t>
      </w:r>
    </w:p>
    <w:p>
      <w:r>
        <w:rPr>
          <w:b/>
        </w:rPr>
        <w:t>E. 2.3</w:t>
      </w:r>
    </w:p>
    <w:p>
      <w:r>
        <w:t>En l'espèce, il est constant que le véhicule de l'intimé a été flashé à la vitesse de 117 km/h sur un tronçon d'autoroute limité à 80 km/h, ce qu'il ne conteste pas. L'intimé a toutefois objecté sur commission rogatoire et sur opposition qu'il n'était pas l'auteur dudit excès de vitesse. Il s'est cependant contenté d'indiquer que l'auteur de l'infraction était son cousin sans fournir de plus amples informations notamment propres à retrouver ce dernier, telles son adresse ou ses coordonnées téléphoniques. Les explications de l'intimé selon lesquelles celui-ci se trouvait actuellement, et au demeurant providentiellement, en Algérie mais serait impossible à localiser, paraissent peu crédibles au vu du lien familial les unissant. Il n'a pas non plus fourni d'éléments permettant d'établir que son cousin était effectivement en Europe au moment de l'infraction. A fortiori, il n'a pas détaillé son propre emploi du temps le jour des faits, ni expliqué dans quelles circonstances il aurait été amené à prêter son véhicule à son cousin, si ce dernier est titulaire du permis adéquat, ni pour quelle raison il se serait rendu à Genève. S'y ajoute l'absence de réponse de l'intimé dans un premier temps à la police, puis dans un second temps aux différents courriers et mandats de comparution du MP, du TP et de la CPAR. La CPAR ne peut qu'en déduire une volonté de se soustraire à l'action pénale. Il est ainsi établi, au-delà de tout doute raisonnable, que l'intimé est bien l'auteur de l'excès de vitesse du 15 avril 2017. Ce dernier ne conteste d'ailleurs pas ce point au stade de la procédure d'appel.</w:t>
      </w:r>
    </w:p>
    <w:p>
      <w:r>
        <w:rPr>
          <w:b/>
        </w:rPr>
        <w:t>E. 2.4</w:t>
      </w:r>
    </w:p>
    <w:p>
      <w:r>
        <w:t>Pour qualifier ledit excès de vitesse de grave, il faut déterminer si la vitesse sur le tronçon d'autoroute sur lequel l'intimé a commis l'infraction a été réduite pour des raisons de sécurité, ce qui signifierait, à teneur de la jurisprudence du Tribunal fédéral susmentionnée, que le tronçon serait comparable, eu égard au danger potentiel, à une route située en dehors d'une localité. Il résulte du dossier, et notamment de la décision du 4 octobre 2018 de l'OFROU et de la note technique sur laquelle elle se fonde, que le tronçon d'autoroute en question a été limité à 80 km/h pour des raisons de sécurité - et cela de façon permanente depuis la mise en circulation de l'autoroute N1aP - en raison de la largeur insuffisante de la route à l'intérieur des trois tunnels qui se succèdent, de la courte distance entre ceux-ci, de l'absence de bande d'arrêt d'urgence sur la majorité du tronçon, et de la présence d'un nombre important d'accès et de sorties. Contrairement à ce que prétend l'intimé, la portion d'autoroute litigieuse appelle une prudence particulière, sa configuration telle que décrite dans la décision du 4 octobre 2018 de l'OFROU et sa note technique, entravant la visibilité du conducteur sur une longue distance. Le danger de collision en cas de bouchon ou d'accident notamment dans l'un des tunnels s'en trouve ainsi fortement augmenté. L'argument soulevé par l'intimé selon lequel la décision du 4 octobre 2018 de l'OFROU ne saurait trouver application en raison du principe de non-rétroactivité n'est pas pertinent, cette dernière ne faisant que reprendre l'ensemble des prescriptions préexistantes et apportant les justifications requises au sens de l'OSR. Au vu de ce qui précède, le tronçon d'autoroute sur lequel a été commis l'excès de vitesse doit être assimilé à une route située en dehors d'une localité, eu égard au danger potentiel, quand bien même il est composé de deux voies dans le même sens de marche et que celles-ci sont séparées par une berme centrale. Par conséquent, le dépassement de vitesse litigieux étant supérieur à 30 km/h, soit le seuil retenu pour le cas grave hors localité, il doit être objectivement qualifié de grave, sans égard aux circonstances concrètes du cas alléguées par l'intimé, soit notamment le fait que l'excès de vitesse a été commis à une heure à laquelle il n'y a en général que peu de trafic. L'appel du MP sera donc admis sur ce point et l'intimé sera reconnu coupable de violation grave des règles de la circulation routière au sens de l'art. 90 al. 2 LCR.</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Les nouvelles dispositions sur le droit des sanctions sont entrées en vigueur le 1 er janvier 2018. En l'espèce, la nouvelle mouture de l'art. 42 al. 4 CP, prévoyant uniquement la possibilité de prononcer, en plus d'une peine avec sursis, une amende conformément à l'art. 106 CP, est plus favorable à l'intimé. Il sera dès lors fait application du nouveau droit des sanctions en vertu du principe de la lex mitior (art. 2 al. 2 CP).</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3.5</w:t>
      </w:r>
    </w:p>
    <w:p>
      <w:r>
        <w:t>L'amende au sens de l'art. 106 CP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3.6</w:t>
      </w:r>
    </w:p>
    <w:p>
      <w:r>
        <w:t>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art. 106), taux de conversion généralement appliqué et admis par la jurisprudence.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rPr>
          <w:b/>
        </w:rPr>
        <w:t>E. 3.7</w:t>
      </w:r>
    </w:p>
    <w:p>
      <w:r>
        <w:t>En l'espèce, la faute de l'intimé est importante. En commettant un excès de vitesse de 31 km/h, pour sa seule convenance personnelle, il a agi au détriment de la sécurité d'autrui et sans considération pour les règles de la circulation applicables. Sa collaboration tout comme sa prise de conscience de la gravité de ses agissements sont nulles, au vu de ses dénégations répétées, des explications inconsistantes qu'il a fournies pour tenter de se disculper et de son absence de réponse aux différentes convocations. Une peine pécuniaire de 30 jours-amende paraît adaptée à sa faute et à sa situation personnelle. Il se justifie d'en fixer le montant unitaire à CHF 50.-, l'intimé ayant déclaré exercer, en France, la profession de chauffeur-livreur, sans fournir d'indication quant à ses revenus et une éventuelle fortune, ce qui ne saurait l'avantager au détriment du prévenu qui fournit tous les éléments utiles pour la fixation dudit montant. Cette peine sera assortie du sursis, une peine ferme ne paraissant pas nécessaire pour détourner l'intimé d'autres crimes ou délits. Au vu de l'importance de la faute, et en conformité avec la jurisprudence du Tribunal fédéral susmentionnée, le prononcé d'une amende en sus s'impose. Cette dernière sera arrêtée à CHF 500.- pour être suffisamment dissuasive et la peine privative de liberté de substitution à 10 jours. Partant l'appel du MP sera admis.</w:t>
      </w:r>
    </w:p>
    <w:p>
      <w:r>
        <w:rPr>
          <w:b/>
        </w:rPr>
        <w:t>E. 4</w:t>
      </w:r>
    </w:p>
    <w:p>
      <w:r>
        <w:t>L'intimé, qui succombe, sera condamné aux frais de la procédure qui comprennent un émolument de CHF 1'500.- (art. 428 al. 1 CPP; 14 al. 1 let. e du règlement du 22 décembre 2010 fixant le tarif des frais et dépens en matière pénale [RTFMP - E 4 10.03]. La prise en charge par l'intimé des frais de première instance sera confirmée (art. 428 al. 3 et 426 al. 1 CPP).</w:t>
      </w:r>
    </w:p>
    <w:p>
      <w:r>
        <w:rPr>
          <w:b/>
        </w:rPr>
        <w:t>E. 5</w:t>
      </w:r>
    </w:p>
    <w:p>
      <w:r>
        <w:t>.2 L'état de frais produit par M e B______, défenseur d'office de l'intimé, est adéquat et sera intégralement pris en compte. L'indemnité sera ainsi arrêtée à CHF 1'996.75 correspondant à 2h30 d'activité au tarif de CHF 200.-/heure et 9h30 au tarif de CHF 110.-/heure, plus la majoration forfaitaire de 20% (CHF 309.-) et l'équivalent de la TVA au taux de 7.7% (CHF 142.75).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