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P/23526/2018 vom 17. Januar 2022</w:t>
      </w:r>
    </w:p>
    <w:p>
      <w:r>
        <w:t>GE Cour de justice, 2022-01-17, FR</w:t>
      </w:r>
    </w:p>
    <w:p>
      <w:r>
        <w:rPr>
          <w:b/>
        </w:rPr>
        <w:t xml:space="preserve">Quelle: </w:t>
      </w:r>
      <w:r>
        <w:t>https://mcp.opencaselaw.ch/entscheid/ge_gerichte_P_23526_2018</w:t>
      </w:r>
    </w:p>
    <w:p>
      <w:r>
        <w:t>FR: GE_GERICHTE P/23526/2018 du 17 janvier 2022</w:t>
      </w:r>
    </w:p>
    <w:p>
      <w:r>
        <w:t>IT: GE_GERICHTE P/23526/2018 del 17 gennaio 2022</w:t>
      </w:r>
    </w:p>
    <w:p>
      <w:pPr>
        <w:pStyle w:val="Heading2"/>
      </w:pPr>
      <w:r>
        <w:t>Regeste</w:t>
      </w:r>
    </w:p>
    <w:p>
      <w:r>
        <w:t>PORNOGRAPHIE DURE | CP.197.al4; CPP.9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9 CPP consacre la maxime d'accusation. Selon ce principe, l'acte d'accusation définit l'objet du procès.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(arrêts du Tribunal fédéral 6B_955/2019 du 11 octobre 2019 consid. 2.1 ; 6B_1023/2017 du 25 avril 2018 consid. 1.1 non publié aux ATF 144 IV 189 ).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w:t>
      </w:r>
    </w:p>
    <w:p>
      <w:r>
        <w:rPr>
          <w:b/>
        </w:rPr>
        <w:t>E. 2.2</w:t>
      </w:r>
    </w:p>
    <w:p>
      <w:r>
        <w:t>Aux termes de l'art. 197 al. 4 CP, est punissable quiconque fabrique, importe, prend en dépôt, met en circulation, promeut, expose, offre, montre, rend accessible, met à disposition, acquiert, obtient par voie électronique ou d'une autre manière ou possède des écrits, des enregistrements sonores ou visuels, des images, d'autres objets ou des représentations pornographiques ayant notamment comme contenu des actes d'ordre sexuel non effectifs (1 ère phrase) ou effectifs (2 ème phrase) avec des mineurs. L'acte de " montrer " décrit un comportement par lequel l'auteur présente un objet ou la représentation illicite à un tiers. " Rendre accessible " signifie conférer à autrui la faculté de voir l'objet ou la représentation. Enfin, " mettre à disposition " vise le fait de ménager à un tiers la faculté de voir librement l'objet ou la représentation, ce qui couvre non seulement la transmission active, mais aussi le fait de laisser prendre passivement (M. DUPUIS / L. MOREILLON / C. PIGUET / S. BERGER / M. MAZOU / V. RODIGARI [éds], Code pénal - Petit commentaire , 2 e éd., Bâle 2017, n. 19 et 34 s. ad art. 197 et n. 14 ad art. 135 ; M. NIGGLI / H. WIPRÄCHTIGER, Basler Kommentar Strafrecht II : Art. 111-392 StGB , 4 e éd., Bâle 2018, n. 52g ss ad art. 197). 2.3.1. En l'espèce, l'acte d'accusation reproche au prévenu d'avoir intentionnellement distribué et mis à disposition d'autres utilisateurs, " via Google ", trois vidéos pédopornographiques. Indépendamment du fait que Google soit une entreprise de services technologiques, non pas un service de messagerie ou un réseau social, de sorte que l'on ne saisit pas, à la lecture de ce document, depuis quel support précisément il aurait opéré les transferts litigieux, l'appelant a expliqué avoir reçu, puis envoyé au moins une vidéo de ce type exclusivement par le biais du système de messagerie instantanée WhatsApp, ce qui n'est pas contesté. On doit par conséquent admettre que les agissements constitutifs de pornographie décrits dans l'acte d'accusation ne correspondent pas aux éléments sur lesquels le prévenu a été entendu durant l'instruction, puis à ceux retenus par le TP pour admettre sur la seule base de ses aveux - aucune vidéo, image, SMS ou encore email n'ayant été retrouvé sur son téléphone portable ou sur celui de ses prétendus expéditeur et destinataires - la réalisation de l'élément constitutif du comportement typique. Ces éléments factuels ne sauraient être considérés comme des faits secondaires n'ayant aucune influence sur l'appréciation juridique, puisqu'ils conditionnent la réalisation ou non de l'un des éléments constitutifs objectifs de l'infraction de pornographie reprochée à l'appelant. Le fait que l'instruction ait porté sur d'éventuels transferts litigieux, via WhatsApp, ne saurait aucunement pallier les carences de l'acte d'accusation en matière de délimitation de l'objet du procès et d'information du prévenu, dès lors que celui-ci doit comprendre, sur la base de ce seul document, ce qui lui est précisément reproché. Le MP a ainsi fixé, dans son acte d'accusation, la façon d'agir de l'auteur pour laquelle il entendait renvoyer l'appelant en jugement, de sorte que cet état de fait, par lequel est tenu la Cour de céans, ne permet pas de reconnaître l'appelant coupable de pornographie (art. 197 al. 4 2 ème phrase CP). 2.3.2. Le prévenu sera, partant, acquitté de ce chef d'infraction et l'appel sera admis.</w:t>
      </w:r>
    </w:p>
    <w:p>
      <w:r>
        <w:rPr>
          <w:b/>
        </w:rPr>
        <w:t>E. 3</w:t>
      </w:r>
    </w:p>
    <w:p>
      <w:r>
        <w:t>L'appel ayant été admis et le prévenu acquitté, l'intégralité des frais de la procédure sera laissée à la charge de l'Etat (art. 423, 426 al. 1 et 428 al. 1 CPP a contrario ).</w:t>
      </w:r>
    </w:p>
    <w:p>
      <w:r>
        <w:rPr>
          <w:b/>
        </w:rPr>
        <w:t>E. 4</w:t>
      </w:r>
    </w:p>
    <w:p>
      <w:r>
        <w:t>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(let. c) pour le chef d'étude,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4.1.2.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4.1.3. Le travail consistant en des recherches juridiques, sauf questions particulièrement pointues, n'est pas indemnisé, l'État ne devant pas assumer la formation continue de l'avocat breveté ( AARP/147/2016 du 17 mars 2016 consid. 7.3 ; AARP/302/2013 du 14 juin 2013 ; AARP/267/2013 du 7 juin 2013). 4.1.4.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4.2</w:t>
      </w:r>
    </w:p>
    <w:p>
      <w:r>
        <w:t>En l'occurrence, l'état de frais de M e C______, défenseur d'office de A______, satisfait les exigences légales et jurisprudentielles régissant l'assistance judiciaire gratuite en matière pénale, sous réserve du temps consacré à la lecture du jugement et des recherches juridiques, tâche couverte par le forfait, respectivement non indemnisée, et sous réduction d'une heure pour le poste entretien client, les faits reprochés ne nécessitant pas de longs entretiens, ainsi que de deux heures pour la préparation à l'audience, le dossier, bien connu de l'avocat et peu volumineux, ne nécessitant pas une activité supérieure à 8h00. En conclusion, la rémunération sera arrêtée à CHF 1'970.-, correspondant à 8h30 heures d'activité au tarif de CHF 200.-/heure (CHF 1'700.-) plus la majoration forfaitaire de 10% (CHF 170.-), compte tenu de l'activité déployée en première instance, une vacation à CHF 100.- (un envoi postal étant suffisant pour transmettre le dossier). M e C______ n'étant pas assujetti à la TVA, celle-ci ne lui sera pas versée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