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P/2349/2020 vom 27. April 2020</w:t>
      </w:r>
    </w:p>
    <w:p>
      <w:r>
        <w:t>GE Cour de justice, 2020-04-27, FR</w:t>
      </w:r>
    </w:p>
    <w:p>
      <w:r>
        <w:rPr>
          <w:b/>
        </w:rPr>
        <w:t xml:space="preserve">Quelle: </w:t>
      </w:r>
      <w:r>
        <w:t>https://mcp.opencaselaw.ch/entscheid/ge_gerichte_P_2349_2020</w:t>
      </w:r>
    </w:p>
    <w:p>
      <w:r>
        <w:t>FR: GE_GERICHTE P/2349/2020 du 27 avril 2020</w:t>
      </w:r>
    </w:p>
    <w:p>
      <w:r>
        <w:t>IT: GE_GERICHTE P/2349/2020 del 27 aprile 2020</w:t>
      </w:r>
    </w:p>
    <w:p>
      <w:pPr>
        <w:pStyle w:val="Heading2"/>
      </w:pPr>
      <w:r>
        <w:t>Regeste</w:t>
      </w:r>
    </w:p>
    <w:p>
      <w:r>
        <w:t>DÉCISION D'IRRECEVABILITÉ;INFRACTIONS CONTRE LE PATRIMOINE;VALEUR PATRIMONIALE;CHOSE CONFIÉE | CPP.310; CP.138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6B_1010/2018 du 22 janvier 2019 consid. 3.1).</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 er décembre 2016 consid. 4 ; 6B_635/2015 du 9 février 2016 consid. 3.1). Ainsi, il est nécessaire que les valeurs patrimoniales concernées appartiennent à autrui d'un point de vue économique. Tel est le cas lorsque l'auteur est tenu de les conserver à la disposition du lésé, de sorte que ce dernier en représente l'ayant droit économique à défaut d'en être le propriétaire au sens juridique du terme (ATF 133 IV 21 consid. 6.2 ; arrêt du Tribunal fédéral 6B_312/2009 du 17 juillet 2009 consid. 2.2).</w:t>
      </w:r>
    </w:p>
    <w:p>
      <w:r>
        <w:rPr>
          <w:b/>
        </w:rPr>
        <w:t>E. 4</w:t>
      </w:r>
    </w:p>
    <w:p>
      <w:r>
        <w:t>En l'espèce, la recourante reproche au mis en cause d'avoir, en utilisant contrairement à l'usage déterminé l'argent du compte C______, commis un abus de confiance. Pour que l'infraction dénoncée soit remplie, et avant même que la question d'un but déterminé se pose, il faut que les valeurs patrimoniales concernées soient confiées à l'auteur. Or, au vu des pièces produites par la recourante elle-même, il est établi que le compte en question est un compte joint, dont le mis en cause est co-titulaire. Il apparaît donc que celui-ci est copropriétaire des avoirs du compte et que, dès lors, ceux-ci ne lui ont pas été confiés au sens de l'art. 138 CP. Ainsi, les actes d'instruction sollicités n'apparaissent pas susceptibles d'apporter d'élément complémentaire probant, ce d'autant plus que la recourante s'est contentée de réclamer la « confrontation et audition de témoins » , sans même proposer l'identité de ceux-ci, ni préciser sur quel fait pertinent ils auraient été susceptibles d'être entendus. Partant, l'infraction d'abus de confiance n'est pas réalisée et aucune prévention pénale ne saurait être reprochée au mis en cause.</w:t>
      </w:r>
    </w:p>
    <w:p>
      <w:r>
        <w:rPr>
          <w:b/>
        </w:rPr>
        <w:t>E. 5</w:t>
      </w:r>
    </w:p>
    <w:p>
      <w:r>
        <w:t>Justifiée, l'ordonnance querellée sera donc confirmée.</w:t>
      </w:r>
    </w:p>
    <w:p>
      <w:r>
        <w:rPr>
          <w:b/>
        </w:rPr>
        <w:t>E. 6</w:t>
      </w:r>
    </w:p>
    <w:p>
      <w:r>
        <w:t>La recourante,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