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P/23473/2015 vom 28. April 2016</w:t>
      </w:r>
    </w:p>
    <w:p>
      <w:r>
        <w:t>GE Cour de justice, 2016-04-28, FR</w:t>
      </w:r>
    </w:p>
    <w:p>
      <w:r>
        <w:rPr>
          <w:b/>
        </w:rPr>
        <w:t xml:space="preserve">Quelle: </w:t>
      </w:r>
      <w:r>
        <w:t>https://mcp.opencaselaw.ch/entscheid/ge_gerichte_P_23473_2015</w:t>
      </w:r>
    </w:p>
    <w:p>
      <w:r>
        <w:t>FR: GE_GERICHTE P/23473/2015 du 28 avril 2016</w:t>
      </w:r>
    </w:p>
    <w:p>
      <w:r>
        <w:t>IT: GE_GERICHTE P/23473/2015 del 28 aprile 2016</w:t>
      </w:r>
    </w:p>
    <w:p>
      <w:pPr>
        <w:pStyle w:val="Heading2"/>
      </w:pPr>
      <w:r>
        <w:t>Regeste</w:t>
      </w:r>
    </w:p>
    <w:p>
      <w:r>
        <w:t>BRIGANDAGE; SÉJOUR ILLÉGAL; FIXATION DE LA PEINE; APPRÉCIATION DES PREUVES; RÉCIDIVE(INFRACTION); RÉVOCATION DU SURSIS | CP.140.1.1; CP.47; CP.49.1; CP.42.2; CP.46.1; LEtr.115.1.b</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124 IV 86 consid. 2a p. 87 ss).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2.1.3.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Rien ne s'oppose à ne retenir qu'une partie des déclarations d'un témoin globalement crédible (ATF 120 Ia 31 consid. 3 p. 39 ; arrêt du Tribunal fédéral 6B_637/2012 du 21 janvier 2013 consid. 5.4).</w:t>
      </w:r>
    </w:p>
    <w:p>
      <w:r>
        <w:rPr>
          <w:b/>
        </w:rPr>
        <w:t>E. 2.2</w:t>
      </w:r>
    </w:p>
    <w:p>
      <w:r>
        <w:t>En l'espèce, la peine infligée par le premier juge est adéquate. Certes, les faits au préjudice de la partie plaignante se situent à la limite inférieure de la palette des agissements susceptibles de tomber sous la qualification juridique de brigandage simple. Il n'en demeure pas moins que le plancher légal de la peine est de six mois et qu'il y a concours d'infraction avec la violation de la LEtr. La faute de l'appelant est encore augmentée par le fait que ce dernier a agi quelques semaines seulement après avoir été libéré, s'étant vu octroyer un sursis partiel notamment au motif que son retour annoncé pour la Guinée devait permettre d'écarter la crainte d'une récidive. Les explications données au sujet de ses vaines tentatives de quitter la Suisse pour Paris ne sont pas convaincantes, sans préjudice du fait qu'elle constituent l'aveu implicite qu'il comptait y demeurer et qu'il n'a donc pas réellement tenté d'obtenir de l'aide pour être rapatrié en Guinée, alors qu'il s'agit de la seule issue raisonnable. Le mobile, en ce qui concerne le brigandage, est égoïste, l'appelant s'en étant pris au patrimoine de la victime ; il a de surcroit agi avec lâcheté dans la mesure où il a profité de sa vulnérabilité, due à son ivresse. Il n'y a aucune prise de conscience et la collaboration à la procédure doit être qualifiée de mauvaise, l'appelant ayant opté pour une tactique de défense détestable, consistant à s'en prendre à la victime. Il est vrai que l'appelant ne dispose que d'un faible niveau d'éducation, mais cela ne l'exonère pas du devoir de respecter les interdits de base, tel celui de voler. La précarité de sa situation n'est pas non plus un élément justificatif, celle-ci découlant de son entêtement à demeurer en Suisse alors qu'il admet être conscient de ce qu'il n'y a aucun espoir qu'il puisse régulariser son statut. Le jugement de première instance sera partant confirmé en ce qu'il prononce une peine privative de liberté ferme de neuf mois, tout comme il le sera au sujet de la révocation du précédent sursis, le risque de réitération étant très élevé. Le pronostic est en effet clairement défavorable. L'appelant a récidivé à peine un mois après sa dernière condamnation à une peine privative de liberté assortie d'un sursis partiel et ses projets d'avenir sont inexistants. Ses antécédents sont nombreux et en partie spécifiques, l'appelant ayant été condamné à six reprises depuis 2012.</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3.1.2. Bien que la récidive ne constitue plus un motif d'aggravation obligatoire de la peine (art. 67 a CP), les antécédents continuent de jouer un rôle très important dans la fixation de celle-ci (M. Niggli / H. Wiprächtiger, Basler Kommentar Strafrecht I : Art. 1-110 StGB, Jugendstrafgesetz , 2 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Les antécédents judiciaires ne sauraient toutefois conduire à une augmentation massive de la peine, parce que cela reviendrait à condamner une deuxième fois pour des actes déjà jugés (ATF 120 IV 136 consid. 3b p. 145). 3.1.3. D'après l'art. 49 al. 1 CP, si, en raison d'un ou de plusieurs actes, l'auteur remplit les conditions de plusieurs peines de même genre, le juge le condamne à la peine de l'infraction la plus grave et l'augmente dans une juste proportion. 3.1.4.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 arrêt du Tribunal fédéral 6B_352/2014 du 22 mai 2015 consid. 7.1. non publié in ATF 141 IV 273 ). Lorsque l'hypothèse visée par l'art. 42 al. 2 CP est réalisée, un sursis partiel au sens de l'art. 43 CP est exclu (arrêt du Tribunal fédéral 6B_352/2014 précité). 3.1.5. Si, durant le délai d'épreuve, le condamné commet un crime ou un délit et qu'il y a dès lors lieu de prévoir qu'il commettra de nouvelles infractions, le juge révoque le sursis ou le sursis partiel (art. 46 al. 1 CP).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 er mai 2014 consid. 2.1). Par analogie avec l'art. 42 al. 1 et 2 CP, le juge se fonde sur une appréciation globale des circonstances du cas d'espèce pour estimer le risque de récidive (ATF 134 IV 140 consid. 4.4 p. 143 ; arrêt du Tribunal fédéral 6B_1165/2013 précité). 3.2.1. Celui qui commet un brigandage sera puni d'une peine privative de liberté de dix ans au plus ou d'une peine pécuniaire de 180 jours-amende au moins. L'art. 115 al. 1 let. b LEtr prévoit une peine privative de liberté d'un an au plus ou d'une peine pécuniaire.</w:t>
      </w:r>
    </w:p>
    <w:p>
      <w:r>
        <w:rPr>
          <w:b/>
        </w:rPr>
        <w:t>E. 4</w:t>
      </w:r>
    </w:p>
    <w:p>
      <w:r>
        <w:t>L'appelant, qui succombe, supportera les frais de la procédure envers l'État (art. 428 CPP).</w:t>
      </w:r>
    </w:p>
    <w:p>
      <w:r>
        <w:rPr>
          <w:b/>
        </w:rPr>
        <w:t>E. 5</w:t>
      </w:r>
    </w:p>
    <w:p>
      <w:r>
        <w:t>. 5.1.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La juridiction d'appel est partant compétente, au sens de l'art. 135 al. 2 CPP, pour statuer sur l'activité postérieure à sa saisine. 5.2.1.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5.2.2.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5.2.3.1.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5.2.3.2. À ce titre, les communications et courriers divers sont inclus dans le forfait (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l'annonce d'appel ( AARP/304/2015 du 16 juillet 2015) et la déclaration d'appel (ordonnance de la Cour des plaintes du Tribunal pénal fédéral BB.2014.51 du 21 novembre 2014 consid. 2.1 ; décisions de la Cour des plaintes du Tribunal pénal fédéral BB.2013.165 du 24 janvier 2014 consid. 4.1.3 et BB.2013.127 du 4 décembre 2013 consid. 4.2). Les écritures plus amplement motivées sont indemnisées séparément, dans les limites du principe de nécessité. Le temps consacré à la rédaction d'écritures inutiles ou reprenant une argumentation déjà développée, fût-ce devant une autorité précédente, ne saurait ainsi donner lieu à indemnisation ou à indemnisation supplémentaire ( AARP/295/2015 du 12 juillet 2015 consid. 8.1.4.1 et 8.3.1.1 ; AARP/209/2015 du 4 mai 2015 consid. 13.4).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AARP/331/2015 du 27 juillet 2015 ; AARP/362/2015 du 16 juillet 2015 ; AARP/281/2015 du 25 juin 2015 ; AARP/272/2015 du 1 er juin 2015 ; AARP/269/2015 du 9 juin 2015 ; AARP/152/2015 du 24 mars 2015 ; AARP/132/2015 du 4 mars 2015 ; AARP/455/2014 du 29 octobre 2014), contrairement au cas où un examen plus poussé s'imposait, notamment aux fins de déterminer l'opportunité d'un recours au plan cantonal. 5.3.1. En l'occurrence, le temps consacré à la rédaction de l'annonce et de la déclaration d'appel, les courriers et appels téléphoniques ainsi que la lecture d'actes de procédure seront écartés comme couverts par le forfait pour l'activité diverse. Au vu de la complexité relative de l'affaire, le temps dédié à l'examen du jugement de première instance sera pris en compte à hauteur de 30 minutes. Au surplus, l'activité exercée dans le cadre de la présente procédure est en adéquation avec la nature, l'importance et la difficulté de la cause. Il convient d'ajouter une heure et trente minutes pour la durée de l'audience d'appel et la lecture du dispositif. 5.3.2. En conclusion, l'indemnité de M e B______, défenseur d'office d'A______, sera arrêtée à CHF 772.20, correspondant à dix heures d'activité au tarif de CHF 65.-/heure plus la majoration forfaitaire de 10% (CHF 65.-) et l'équivalent de la TVA au taux de 8% en sus (CHF 57.20).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