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P/2336/2018 vom 9. August 2018</w:t>
      </w:r>
    </w:p>
    <w:p>
      <w:r>
        <w:t>GE Cour de justice, 2018-08-09, FR</w:t>
      </w:r>
    </w:p>
    <w:p>
      <w:r>
        <w:rPr>
          <w:b/>
        </w:rPr>
        <w:t xml:space="preserve">Quelle: </w:t>
      </w:r>
      <w:r>
        <w:t>https://mcp.opencaselaw.ch/entscheid/ge_gerichte_P_2336_2018</w:t>
      </w:r>
    </w:p>
    <w:p>
      <w:r>
        <w:t>FR: GE_GERICHTE P/2336/2018 du 9 août 2018</w:t>
      </w:r>
    </w:p>
    <w:p>
      <w:r>
        <w:t>IT: GE_GERICHTE P/2336/2018 del 9 agosto 2018</w:t>
      </w:r>
    </w:p>
    <w:p>
      <w:pPr>
        <w:pStyle w:val="Heading2"/>
      </w:pPr>
      <w:r>
        <w:t>Regeste</w:t>
      </w:r>
    </w:p>
    <w:p>
      <w:r>
        <w:t>ORDONNANCE PÉNALE ; AVOCAT ; DOMICILE ÉLU ; FICTION DE LA NOTIFICATION ; PRINCIPE DE LA BONNE FOI | CPP.85; CPP.436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d'avoir retenu à tort que son opposition n'était pas valable. Il considère que l'ordonnance pénale ne lui a pas été valablement notifiée. Cas échéant, la fiction juridique de l'art. 85 al. 4 let. a CPP ne s'appliquait pas.</w:t>
      </w:r>
    </w:p>
    <w:p>
      <w:r>
        <w:rPr>
          <w:b/>
        </w:rPr>
        <w:t>E. 2.1</w:t>
      </w:r>
    </w:p>
    <w:p>
      <w:r>
        <w:t>Selon l'art. 85 CPP, les autorités pénales notifient leurs prononcés par lettre signature ou par tout autre mode de communication impliquant un accusé de réception (al. 2) ; le prononcé est réputé notifié lorsque, expédié par lettre signature, il n'a pas été retiré dans les 7 jours à compter de la tentative infructueuse de remise du pli, si la personne concernée devait s'attendre à une telle remise (al. 4 let. a). L'art. 87 al. 1 CPP précise que toute communication doit être notifiée au domicile, au lieu de résidence habituelle ou au siège du destinataire.</w:t>
      </w:r>
    </w:p>
    <w:p>
      <w:r>
        <w:rPr>
          <w:b/>
        </w:rPr>
        <w:t>E. 2.2</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2.3</w:t>
      </w:r>
    </w:p>
    <w:p>
      <w:r>
        <w:t>À teneur de l'art. 354 al. 1 let. a CPP, le prévenu peut former opposition contre l'ordonnance pénale devant le Ministère public, par écrit et dans les 10 jours.</w:t>
      </w:r>
    </w:p>
    <w:p>
      <w:r>
        <w:rPr>
          <w:b/>
        </w:rPr>
        <w:t>E. 2.4</w:t>
      </w:r>
    </w:p>
    <w:p>
      <w:r>
        <w:t>En l'espèce, il est constant que le recourant n'est pas allé retirer, dans les sept jours à compter de la tentative infructueuse de notification, le pli recommandé contenant l'ordonnance pénale, réexpédié par la Poste à son domicile genevois et, partant, valablement adressé, l'élection de domicile en l'Étude de son conseil étant survenue postérieurement à l'envoi dudit pli, le 21 mars 2018. Seule demeure donc litigieuse la question de savoir si le recourant pouvait s'attendre à une telle notification. Il apparaît que le recourant a mandaté un avocat le 21 mars 2018, selon la procuration figurant au dossier, lequel a informé le Ministère public de sa constitution avec élection de domicile en son Étude le 25 mars 2018. Partant, il pouvait présumer de bonne foi que les communications des autorités, auxquelles il devait certes s'attendre, lui soient dorénavant adressées chez son conseil. Au moment de la constitution de son avocat, une ordonnance pénale avait été rendue et était en cours de notification, ce que le recourant ignorait, le Ministère public ne l'ayant nullement signalé à son conseil dans son courrier du 26 mars 2018 après que celui-ci se soit enquis du nom du Procureur en charge de la procédure. Or, la simple information qu'une ordonnance pénale avait été rendue et était en cours de notification aurait permis au conseil du recourant de sauvegarder les droits de son client en prenant, le cas échéant, les mesures utiles pour qu'il retire ou fasse retirer son pli à la Poste avant l'échéance du délai de garde au 31 mars 2018. Le fait pour le recourant d'avoir constitué un avocat avec élection de domicile en son Étude, qui s'est immédiatement manifesté auprès du Ministère public, montre qu'il ne s'est pas désintéressé de la procédure ouverte contre lui. On ne voit ainsi pas ce qu'il aurait pu faire de plus. Dans la mesure où il ne devait plus s'attendre à recevoir à son domicile privé des communications des autorités, on ne saurait lui faire grief de s'être absenté et de n'avoir pas retiré son pli. Il s'ensuit que la notification fictive de l'art. 85 al. 4 CPP ne pouvait pas, ici, trouver application. L'ordonnance pénale du 19 mars 2018 n'est, dès lors, pas réputée avoir été valablement notifiée à son destinataire. Le conseil du recourant ayant appris du Service des automobiles et de la navigation du canton de Vaud le 5 juin 2018 qu'une décision pénale avait été rendue, il a immédiatement écrit au Ministère public et formé opposition. Partant, dite opposition est recevable. Au vu de ce qui précède, le recours contre l'ordonnance rendue le 9 août 2018 par le Tribunal de police est admis. L'ordonnance du Tribunal de police sera dès lors annulée. Dans un souci d'économie de procédure – et l'affaire lui revenant de toute façon pour éventuelle application de l'art. 94 CPP –, la cause sera renvoyée directement au Ministère public (art. 397 al. 2 CPP) pour qu'il statue sur l'opposition.</w:t>
      </w:r>
    </w:p>
    <w:p>
      <w:r>
        <w:rPr>
          <w:b/>
        </w:rPr>
        <w:t>E. 3</w:t>
      </w:r>
    </w:p>
    <w:p>
      <w:r>
        <w:t>L'admission du recours ne donne pas lieu à la perception de frais (art. 428 al. 1 CPP).</w:t>
      </w:r>
    </w:p>
    <w:p>
      <w:r>
        <w:rPr>
          <w:b/>
        </w:rPr>
        <w:t>E. 4.1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w:t>
      </w:r>
    </w:p>
    <w:p>
      <w:r>
        <w:rPr>
          <w:b/>
        </w:rPr>
        <w:t>E. 4.2</w:t>
      </w:r>
    </w:p>
    <w:p>
      <w:r>
        <w:t>En l'espèce, la cause ne présente pas de difficultés particulières et le problème juridique posé est clairement circonscrit. Au vu du travail accompli, tenant uniquement dans un mémoire de recours avec un chargé de pièces, quatre heures d'activité au tarif horaire de CHF 450.-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apparaissent justifiées. Ce sera ainsi une indemnité de CHF 1'938.60, TVA de 7,7% incluse, qui sera allouée au recourant au titre de l'exercice raisonnable de ses droits de procédure, à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