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P/23278/2021 vom 23. März 2022</w:t>
      </w:r>
    </w:p>
    <w:p>
      <w:r>
        <w:t>GE Cour de justice, 2022-03-23, FR</w:t>
      </w:r>
    </w:p>
    <w:p>
      <w:r>
        <w:rPr>
          <w:b/>
        </w:rPr>
        <w:t xml:space="preserve">Quelle: </w:t>
      </w:r>
      <w:r>
        <w:t>https://mcp.opencaselaw.ch/entscheid/ge_gerichte_P_23278_2021</w:t>
      </w:r>
    </w:p>
    <w:p>
      <w:r>
        <w:t>FR: GE_GERICHTE P/23278/2021 du 23 mars 2022</w:t>
      </w:r>
    </w:p>
    <w:p>
      <w:r>
        <w:t>IT: GE_GERICHTE P/23278/2021 del 23 marzo 2022</w:t>
      </w:r>
    </w:p>
    <w:p>
      <w:pPr>
        <w:pStyle w:val="Heading2"/>
      </w:pPr>
      <w:r>
        <w:t>Regeste</w:t>
      </w:r>
    </w:p>
    <w:p>
      <w:r>
        <w:t>INFRACTIONS CONTRE LA VIE ET L'INTÉGRITÉ CORPORELLE;LÉSION CORPORELLE;AGRESSION | CPP.310; CP.123; CP.134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 La conclusion préalable de la recourante sera rejetée, étant rappelé, de jurisprudence constante, que la motivation d’un acte de recours doit être entièrement contenue dans l’acte de recours lui-même et ne peut être complétée ou corrigée après l’échéance du délai de recours, lequel ne peut être prolongé (ATF 134 II 244 consid. 2.4.2 et 2.4.3; arrêt du Tribunal fédéral 1B_183/2019 du 18 avril 2019 consid. 2).</w:t>
      </w:r>
    </w:p>
    <w:p>
      <w:r>
        <w:rPr>
          <w:b/>
        </w:rPr>
        <w:t>E. 3</w:t>
      </w:r>
    </w:p>
    <w:p>
      <w:r>
        <w:t>La recourante reproche au Ministère public de ne pas avoir pu exercer son droit d'être entendue.![endif]&gt;![if&gt; 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(art. 391 al. 1 et 393 al. 2 CPP).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 Conformément à ce qui précède, le Ministère public n'avait pas à entendre la recourante avant de rendre la décision querellée. Partant, le droit d'être entendu de celle-ci n'a pas été violé.</w:t>
      </w:r>
    </w:p>
    <w:p>
      <w:r>
        <w:rPr>
          <w:b/>
        </w:rPr>
        <w:t>E. 4</w:t>
      </w:r>
    </w:p>
    <w:p>
      <w:r>
        <w:t>La recourante fait grief au Ministère public de ne pas être entré en matière sur sa plainte.![endif]&gt;![if&gt;</w:t>
      </w:r>
    </w:p>
    <w:p>
      <w:r>
        <w:rPr>
          <w:b/>
        </w:rPr>
        <w:t>E. 4.1</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Cette disposition s'interprète à la lumière de la maxime "in dubio pro duriore" , selon laquelle une non-entrée en matière ne peut généralement être prononcée que s'il apparaît clairement que les faits ne sont pas punissables. Le ministère public et la juridiction de recours disposent, dans ce cadre, d'un pouvoir d'appréciation (ATF 143 IV 241 consid. 2.2.1; arrêt du Tribunal fédéral 6B_138/2021 du 23 septembre 2021 consid. 4.1.1).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Se rend coupable de lésions corporelles simples (art. 123 ch. 1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4.3</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rPr>
          <w:b/>
        </w:rPr>
        <w:t>E. 4.4</w:t>
      </w:r>
    </w:p>
    <w:p>
      <w:r>
        <w:t>En l'espèce, il ressort des éléments au dossier qu'une altercation est intervenue entre la recourante et le personnel soignant de F______, en particulier le mis en cause. Cependant, les versions des parties sont contradictoires quant à son déroulement, chacune déclarant n'avoir fait que se défendre contre l'attaque de l'autre. Dans ce contexte, la recourante allègue que le mis en cause lui aurait saisi le bras, puis le pull, mis un coup au visage et, après qu'elle soit tombée sur un meuble et cognée la tête, l'aurait maintenue au sol avec le genou sur la poitrine pendant environ 1 minute. Force est de constater que, hormis ses déclarations, le dossier ne recèle pas d'indice concret venant étayer les lésions subies par la recourante. En effet, le témoignage de C______ permet, tout au plus, de retenir que le mis en cause aurait posé le genou sur le cou de la recourante. Or, aucune lésion n'a été constatée à cette suite, y compris par le certificat médical produit et les photographies jointes. La seule lésion établie est une tuméfaction au milieu du bras gauche. En raison de l'agressivité de la recourante, confirmée par D______ et E______, le mis en cause admet avoir dû l'immobiliser sur un canapé et saisir son poignet pour se dégager – elle avait levé le poing droit dans sa direction, saisi son col, sans le lâcher et déchiré ses vêtements –. Il conteste l'avoir frappée, version corroborée par les témoins précités. Il ne peut donc pas être tenu pour établi que la lésion précitée serait le fait du mis en cause. Quand bien même, le mis en cause semble s'être limité à repousser l'attaque de la recourante, qui refusait d'obtempérer à son injonction de quitter les lieux et faisait un esclandre. Vu ces circonstances, il n'est pas exclu que la tuméfaction ait été provoquée par les propres mouvements de la recourante, qui reconnait elle-même s'être débattue. Au regard de ce qui précède, les mesures d'instruction en lien avec le test PCR de C______ n'apparaissent pas pertinentes. Il s'ensuit qu'une prévention pénale d'infraction à l'art. 123 CP ne peut être établie avec une vraisemblance suffisante à l'encontre du mis en cause. Dans ces circonstances, l'ouverture d'une instruction pénale ou une mise en accusation à son endroit n'apparaissent pas justifiées. Il en va de même s'agissant de l'infraction à l'art. 134 CP, eu égard aux témoignages recueillis et à l'attitude adoptée par la recourante, laquelle aurait initié l'altercation. Aucun acte d'enquête complémentaire n'est susceptible de modifier ce constat, la recourante n'en proposant du reste aucun. C'est donc à juste titre que le Ministère public n'est pas entré en matière sur la plainte de la recourante, étant précisé que si la procédure d'opposition à l'ordonnance pénale visant la recourante devait apporter un éclairage différent, cette dernière pourrait toujours, le cas échéant, demander la reprise de la présente procédure (art. 323 CPP).</w:t>
      </w:r>
    </w:p>
    <w:p>
      <w:r>
        <w:rPr>
          <w:b/>
        </w:rPr>
        <w:t>E. 5</w:t>
      </w:r>
    </w:p>
    <w:p>
      <w:r>
        <w:t>Justifiée, l'ordonnance querellée sera donc confirmée.</w:t>
      </w:r>
    </w:p>
    <w:p>
      <w:r>
        <w:rPr>
          <w:b/>
        </w:rPr>
        <w:t>E. 6</w:t>
      </w:r>
    </w:p>
    <w:p>
      <w:r>
        <w:t>La recourante, qui succombe, supportera les frais envers l'État, qui seront fixés en totalité à CHF 500.-, pour tenir compte de sa situation financière défavorable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