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P/23248/2016 vom 9. Mai 2019</w:t>
      </w:r>
    </w:p>
    <w:p>
      <w:r>
        <w:t>GE Cour de justice, 2019-05-09, FR</w:t>
      </w:r>
    </w:p>
    <w:p>
      <w:r>
        <w:rPr>
          <w:b/>
        </w:rPr>
        <w:t xml:space="preserve">Quelle: </w:t>
      </w:r>
      <w:r>
        <w:t>https://mcp.opencaselaw.ch/entscheid/ge_gerichte_P_23248_2016</w:t>
      </w:r>
    </w:p>
    <w:p>
      <w:r>
        <w:t>FR: GE_GERICHTE P/23248/2016 du 9 mai 2019</w:t>
      </w:r>
    </w:p>
    <w:p>
      <w:r>
        <w:t>IT: GE_GERICHTE P/23248/2016 del 9 maggio 2019</w:t>
      </w:r>
    </w:p>
    <w:p>
      <w:pPr>
        <w:pStyle w:val="Heading2"/>
      </w:pPr>
      <w:r>
        <w:t>Regeste</w:t>
      </w:r>
    </w:p>
    <w:p>
      <w:r>
        <w:t>HOMICIDE PAR NÉGLIGENCE ; AUTOPSIE ; MÉDECIN ; LIEN DE CAUSALITÉ | CPP.310; CP.117</w:t>
      </w:r>
    </w:p>
    <w:p>
      <w:pPr>
        <w:pStyle w:val="Heading2"/>
      </w:pPr>
      <w:r>
        <w:t>Erwägungen</w:t>
      </w:r>
    </w:p>
    <w:p>
      <w:r>
        <w:rPr>
          <w:b/>
        </w:rPr>
        <w:t>E. 1.1</w:t>
      </w:r>
    </w:p>
    <w:p>
      <w:r>
        <w:t>Le recours a été déposé selon la forme et dans le délai prescrits (art. 385 al.1 et 396 al.1 CPP) - les formalités de l'art. 85 al.2 CPP n'ayant pas été respectées - et concerne une ordonnance sujette à recours auprès de la Chambre de céans (art. 393 al.1 let. a CPP).</w:t>
      </w:r>
    </w:p>
    <w:p>
      <w:r>
        <w:rPr>
          <w:b/>
        </w:rPr>
        <w:t>E. 1.2</w:t>
      </w:r>
    </w:p>
    <w:p>
      <w:r>
        <w:t>La recevabilité du recours dépend également de la qualité de la partie qui l'a déposé ainsi que de son intérêt juridiquement protégé à l'annulation de la décision querellée (art. 382 al. 1 CPP). Seule la personne ayant directement subi l'atteinte à son intégrité est titulaire du bien juridique protégé. Partant, ses proches ne sont pas des lésés (directs) au sens de l'art. 115 al. 1 CPP, ni des victimes (directes) au sens de l'art. 116 al. 1 CPP. Les proches de la victime, au sens de l'art. 116 al. 2 CPP - soit son conjoint, ses enfants, ses père et mère et les autres personnes ayant avec elle des liens analogues -, sont toutefois considérés comme victimes indirectes et ont à ce titre le droit de se constituer parties plaignantes (art. 118 CPP), aux fins de faire valoir, par adhésion à la procédure pénale, leurs propres conclusions civiles déduites de l'infraction conformément à l'art. 119 al. 2 let. b CPP (M. NIGGLI / M. HEER / H. WIPRÄCHTIGER (éds), Schweizerische Strafprozessordnung / Schweizerische Jugendstrafprozessordnung, Basler Kommentar StPO/JStPO, Bâle 2011, n. 49 ad art. 115 et n. 11/17 ad art. 116 ; A. KUHN / Y. JEANNERET (éds), C ommentaire romand : Code de procédure pénale suisse , Bâle 2011, n. 13 ad art. 116), ce que confirme la combinaison des art. 117 al. 3 et 122 al. 2 CPP. En l'espèce, le recourant s'est, par courrier du 22 novembre 2018, formellement constitué partie plaignante dans le cadre de la procédure pénale. Il a également fait valoir des conclusions civiles, en versement notamment d'une indemnité pour tort moral, en lien avec le décès de sa mère. Il a donc qualité pour recourir.</w:t>
      </w:r>
    </w:p>
    <w:p>
      <w:r>
        <w:rPr>
          <w:b/>
        </w:rPr>
        <w:t>E. 1.3</w:t>
      </w:r>
    </w:p>
    <w:p>
      <w:r>
        <w:t>Le recours est dès lors recevable.</w:t>
      </w:r>
    </w:p>
    <w:p>
      <w:r>
        <w:rPr>
          <w:b/>
        </w:rPr>
        <w:t>E. 2.1</w:t>
      </w:r>
    </w:p>
    <w:p>
      <w:r>
        <w:t>Le recourant reproche au Ministère public de ne pas avoir ouvert une instruction à la suite du décès de sa mère, alors qu'il ressort du rapport d'autopsie médico-légale du 15 mai 2018 que le décès de cette dernière est dû à une intoxication médicamenteuse .</w:t>
      </w:r>
    </w:p>
    <w:p>
      <w:r>
        <w:rPr>
          <w:b/>
        </w:rPr>
        <w:t>E. 2.2</w:t>
      </w:r>
    </w:p>
    <w:p>
      <w:r>
        <w:t>Selon l'art. 310 al. 1 let. a CPP, le Ministère public rend immédiatement une ordonnance de non-entrée en matière s'il ressort de la dénonciation ou du rapport de police que les éléments constitutifs de l'infraction ou des conditions à l'ouverture de l'action pénale ne sont manifestement pas réunis. Le principe in dubio pro duriore découle du principe de la légalité (art. 5 al. 1 Cst. et 2 al. 2 CPP en relation avec les art. 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op.cit. ; R. PFISTER-LIECHTI (éd.), La procédure pénale fédérale ,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w:t>
      </w:r>
    </w:p>
    <w:p>
      <w:r>
        <w:rPr>
          <w:b/>
        </w:rPr>
        <w:t>E. 3</w:t>
      </w:r>
    </w:p>
    <w:p>
      <w:r>
        <w:t>3.1.1 L'art. 117 CP réprime le comportement de celui qui, par négligence, aura causé la mort d'une personne.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 seulement " rendu possible ou favorisé (arrêt du Tribunal fédéral 6B_1371/2017 du 22 mai 2018 consid. 1.1). La réalisation de l'infraction suppose la réunion de trois conditions : le décès de la victime, une négligence et un lien de causalité entre cette négligence et la mort (ATF 122 IV 145 consid. 3; arrêt du Tribunal fédéral 6B_170/2017 du 19 octobre 2017 consid. 2.2). 3.1.2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Pour déterminer concrètement les devoirs découlant de l'obligation de diligence, le juge peut, notamment, se fonder sur des principes généraux ou une expertise.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Il ne faut toutefois pas perdre de vue que, tant dans le diagnostic que dans la prescription d'une thérapie ou de mesures, le médecin dispose souvent d'une certaine marge d'appréciation. Lorsqu'un traitement ou une opération se révèle après coup comme inapproprié, voire erroné, il ne faut donc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113 II 429 consid. 3a).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 JdT 2005 I 95; ATF 130 IV 7 consid. 3.3 = JdT 2004 I 497). 3.1.3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 et les références citées).</w:t>
      </w:r>
    </w:p>
    <w:p>
      <w:r>
        <w:rPr>
          <w:b/>
        </w:rPr>
        <w:t>E. 3.2</w:t>
      </w:r>
    </w:p>
    <w:p>
      <w:r>
        <w:t>En l'espèce, il ressort de l'autopsie effectuée par le CURML le 15 mai 2018 que le décès de la mère du recourant était dû à une intoxication médicamenteuse mixte à la fluoxétine et à la flécaïnide, substances dont les effets pouvaient se potentialiser mutuellement. Force est de constater que les éléments au dossier ne permettent pas, en l'état, d'exclure une erreur de prescription médicale ou de dosage. Les médecins légistes indiquent que les taux de fluoxétine et de flécaïnide dans le sang et l'urine de la défunte étaient supérieurs aux valeurs thérapeutiques, dans la fourchette des valeurs toxiques, potentiellement létales. Les taux constatés suggéraient donc un possible surdosage. Or, cette éventualité n'a pas été investiguée, de sorte que les experts ne se sont pas prononcés à ce sujet. Rien au dossier ne permet pourtant d'expliquer pourquoi un taux si élevé a pu être constaté dans le sang et dans l'urine de la défunte. Il n'est pas non plus établi clairement si ce taux est dû à une erreur de dosage de la part de la défunte ou de ses médecins traitants. Enfin, les éléments au dossier ne permettent pas de déterminer si les Drs C______, D______ et le médecin de la clinique de E______, avaient connaissance des traitements prescrits distinctement à leur patiente et s'ils auraient dû, le cas échéant, modifier leurs prescriptions ou leurs dosages. Il s'ensuit qu'il est pour le moins prématuré d'exclure, au vu de l'absence d'audition des médecins précités et d'évaluation de la prise en charge médicale et de la gravité des faits, toute violation du devoir de diligence et/ou de prudence. Une instruction devra être ouverte, aux fins d'examiner, précisément, si la prise en charge de B______ était adaptée et si les médecins avaient connaissance des divers traitements administrés à leur patiente par leurs confrères et des risques liés auxdits traitements. Il conviendra également d'élucider s'ils avaient le devoir de mettre en évidence les taux très élevés de flécaïnide et de fluoxétine dans le sang de leur patiente et, le cas échéant, s'ils auraient pu éviter son décès. À ce stade de la procédure, l'on ne peut donc considérer avec certitude que les éléments constitutifs de l'infraction d'homicide par négligence (art. 117 CP) ne sont pas réunis. Au sens de la jurisprudence la plus récente, le Ministère public doit, en conséquence, ouvrir une enquête. 4               Fondé, le recours doit être admis; partant, l'ordonnance querellée sera annulée et la cause renvoyée au Ministère public pour ouverture d'une instruction. 5               L'admission du recours ne donne pas lieu à la perception de frais (art. 428 al. 1 CPP). 6               Le recourant, qui obtient gain de cause, a réclamé une indemnité de procédure. Il ne l'a toutefois ni chiffrée ni justifiée, au sens de l'art. 433 al. 2 CPP, applicable en instance de recours (art. 436 al. 1 CPP), de sorte que la Chambre de céans n'entrera pas en matière sur ce point (art. 433 al. 2, 2ème phrase, CPP;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