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P/2322/2015 vom 20. Juli 2021</w:t>
      </w:r>
    </w:p>
    <w:p>
      <w:r>
        <w:t>GE Cour de justice, 2021-07-20, FR</w:t>
      </w:r>
    </w:p>
    <w:p>
      <w:r>
        <w:rPr>
          <w:b/>
        </w:rPr>
        <w:t xml:space="preserve">Quelle: </w:t>
      </w:r>
      <w:r>
        <w:t>https://mcp.opencaselaw.ch/entscheid/ge_gerichte_P_2322_2015</w:t>
      </w:r>
    </w:p>
    <w:p>
      <w:r>
        <w:t>FR: GE_GERICHTE P/2322/2015 du 20 juillet 2021</w:t>
      </w:r>
    </w:p>
    <w:p>
      <w:r>
        <w:t>IT: GE_GERICHTE P/2322/2015 del 20 luglio 2021</w:t>
      </w:r>
    </w:p>
    <w:p>
      <w:pPr>
        <w:pStyle w:val="Heading2"/>
      </w:pPr>
      <w:r>
        <w:t>Regeste</w:t>
      </w:r>
    </w:p>
    <w:p>
      <w:r>
        <w:t>DIFFAMATION;CALOMNIE;Contrainte ;Demande de révision | CP.173; CP.174; CP.181</w:t>
      </w:r>
    </w:p>
    <w:p>
      <w:pPr>
        <w:pStyle w:val="Heading2"/>
      </w:pPr>
      <w:r>
        <w:t>Erwägungen</w:t>
      </w:r>
    </w:p>
    <w:p>
      <w:r>
        <w:rPr>
          <w:b/>
        </w:rPr>
        <w:t>E. 1.1</w:t>
      </w:r>
    </w:p>
    <w:p>
      <w:r>
        <w:t>L'art. 412 du Code de procédure pénale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 arrêts du Tribunal fédéral 6B_813/2020 du 22 juillet 2020 consid. 1.1 et 6B_273/2020 du 27 avril 2020 consid. 1.1). Le code de procédure pénale ne précise pas si, dans ce cas, il convient de consulter préalablement les parties ; une prise de position de leur part n'apparaît pas nécessaire, mais peut être souhaitable dans les cas douteux (arrêt du Tribunal fédéral 6B_415/2012 du 14 décembre 2012 consid. 1.1). Dans le cas d'une demande de révision manifestement irrecevable, l'instance de recours peut renoncer à recueillir des déterminations écrites (ATF 146 IV 185 consid. 6.6).</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(G. PIQUEREZ / A. MACALUSO, Procédure pénale suisse, 3e éd., Zürich 2011, n. 2067 et note 837, n. 2079 et 2089 s.).</w:t>
      </w:r>
    </w:p>
    <w:p>
      <w:r>
        <w:rPr>
          <w:b/>
        </w:rPr>
        <w:t>E. 2</w:t>
      </w:r>
    </w:p>
    <w:p>
      <w:r>
        <w:t>En l'espèce, le demandeur ne présente aucuns faits ou moyens de preuve nouveaux et sérieux qui puissent être de nature à permettre une entrée en matière.</w:t>
      </w:r>
    </w:p>
    <w:p>
      <w:r>
        <w:rPr>
          <w:b/>
        </w:rPr>
        <w:t>E. 2.1</w:t>
      </w:r>
    </w:p>
    <w:p>
      <w:r>
        <w:t>S'agissant tout d'abord du non-respect du délai de plainte en lien avec le courrier du 5 juin 2014, ce fait a déjà été allégué et soumis à l'appréciation de toutes les juridictions saisies. En particulier, l'arrêt du 26 septembre 2019 retient que D______ a expliqué de manière plausible n'avoir été au courant de l'existence de la lettre litigieuse qu'à la fin du mois de janvier 2015, après avoir pris connaissance sur internet du courrier adressé le 2 décembre 2014 par A______ au Grand Conseil, lequel faisait référence au courrier du 5 juin 2014. Cette explication était compatible avec sa requête au Secrétariat général du Grand Conseil début février 2015 en vue d'en obtenir une copie, celle-ci lui ayant effectivement été transmise le 3 mars 2015. Le dies a quo du délai de plainte devait par conséquent être fixé au 3 mars 2015. Les échanges de courriers postérieurs à l'arrêt du TF ne constituent pas un moyen de preuve propre à modifier les constatations faites antérieurement. Ils n'établissent aucunement l'existence d'une " audience de justification " comme l'allègue le demandeur. L'existence d'un échange oral et général entre le Conseiller d'Etat H______ et D______, dont on ignore au demeurant à quelle période il a eu lieu, ne constitue pas une preuve de ce que le second connaissait l'existence, a fortiori le contenu, du courrier du 5 juin 2014 avant le 30 janvier 2015. Les conclusions préalables prises par le demandeur, visant à " instruire la cause " ou procéder à des auditions sur cette question tendent bien à démontrer que les courriers produits ne constituent pas un moyen de preuve suffisant, qui aurait pu fonder une demande de révision.</w:t>
      </w:r>
    </w:p>
    <w:p>
      <w:r>
        <w:rPr>
          <w:b/>
        </w:rPr>
        <w:t>E. 2.2</w:t>
      </w:r>
    </w:p>
    <w:p>
      <w:r>
        <w:t>Le demandeur allègue ensuite, en lien avec ses observations du 7 novembre 2014, que le TF était la première autorité judiciaire à retenir de manière claire la connaissance dès 2006 par D______ du concubinage formé par B______ et F______, ce qui remettait en question l'issue même de la procédure, l'ex-concubine ayant allégué en justice des faits qu'elle savait erronés ce qui constituait des éléments libératoires concernant la plainte du 6 février 2015. Or, selon les considérants du TF lui-même, la question du moment auquel D______ aurait eu connaissance du concubinage est sans portée, en ce sens qu'indépendamment de la réponse à cette question, il n'était pas arbitraire de retenir que l'intéressé n'avait pas, en soutenant l'existence de rapports de travail - nullement exclus par un lien affectif entre les parties - et en contestant l'existence d'une société simple, cherché à tromper astucieusement la justice, d'autant que, jusqu'en 2012, une grande incertitude juridique avait régné concernant les relations contractuelles nouées entre F______ et B______, ce dernier ayant lui-même agi devant la juridiction prud'homale. Défendant la thèse des rapports de travail et non d'une société simple, D______ n'avait pas pour autant astucieusement cherché à tromper les autorités judiciaires. En tout état, le fait que soit désormais retenu que D______ avait eu connaissance dès 2006 de la vie commune de B______ et F______, c’est-à-dire que l'appréciation par le TF des faits et moyens de preuves déjà contenus dans le dossier soit différente de celle des instances inférieures, ne constitue lui-même pas un fait ou un élément de preuve nouveau pouvant fonder une demande de révision au sens de l'art. 410 CPP. On peine ainsi à saisir en quoi ce fait serait sérieux au sens de cette disposition, puisque le TF lui-même relève qu'il est sans pertinence sur le fond, ne permettant pas de retenir que D______ aurait astucieusement cherché à tromper les autorités judiciaires en défendant la thèse selon laquelle des rapports de travail avaient existé et non une société simple.</w:t>
      </w:r>
    </w:p>
    <w:p>
      <w:r>
        <w:rPr>
          <w:b/>
        </w:rPr>
        <w:t>E. 2.3</w:t>
      </w:r>
    </w:p>
    <w:p>
      <w:r>
        <w:t>Il découle de ce qui précède que le demandeur en révision ne présente pas d'éléments nouveaux et sérieux dans le cadre de la présente demande de révision par rapport à ceux déjà soumis à la CPAR lorsqu'elle a rendu l'arrêt AARP/333/2019 du 26 septembre 2019. Il ne sera dès lors pas entré en matière. La demande en révision est manifestement irrecevable.</w:t>
      </w:r>
    </w:p>
    <w:p>
      <w:r>
        <w:rPr>
          <w:b/>
        </w:rPr>
        <w:t>E. 3</w:t>
      </w:r>
    </w:p>
    <w:p>
      <w:r>
        <w:t>La partie dont le recours est irrecevable est considérée comme ayant succombé et supporte les frais de la procédure envers l'Etat (art. 428 CPP). A______ y sera donc condamné, ces frais comprenant un émolument de décision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