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P/23219/2019 vom 30. Januar 2020</w:t>
      </w:r>
    </w:p>
    <w:p>
      <w:r>
        <w:t>GE Cour de justice, 2020-01-30, FR</w:t>
      </w:r>
    </w:p>
    <w:p>
      <w:r>
        <w:rPr>
          <w:b/>
        </w:rPr>
        <w:t xml:space="preserve">Quelle: </w:t>
      </w:r>
      <w:r>
        <w:t>https://mcp.opencaselaw.ch/entscheid/ge_gerichte_P_23219_2019</w:t>
      </w:r>
    </w:p>
    <w:p>
      <w:r>
        <w:t>FR: GE_GERICHTE P/23219/2019 du 30 janvier 2020</w:t>
      </w:r>
    </w:p>
    <w:p>
      <w:r>
        <w:t>IT: GE_GERICHTE P/23219/2019 del 30 gennaio 2020</w:t>
      </w:r>
    </w:p>
    <w:p>
      <w:pPr>
        <w:pStyle w:val="Heading2"/>
      </w:pPr>
      <w:r>
        <w:t>Regeste</w:t>
      </w:r>
    </w:p>
    <w:p>
      <w:r>
        <w:t>ENQUÊTE PÉNALE;INFRACTIONS CONTRE L'HONNEUR;RÉPUTATION;RÉSEAU SOCIAL;ENVOI SOUS PLI SIMPLE;NOTIFICATION DE LA DÉCISION | CPP.310.al1.leta; CPP.85.al2; CP.173</w:t>
      </w:r>
    </w:p>
    <w:p>
      <w:pPr>
        <w:pStyle w:val="Heading2"/>
      </w:pPr>
      <w:r>
        <w:t>Erwägungen</w:t>
      </w:r>
    </w:p>
    <w:p>
      <w:r>
        <w:rPr>
          <w:b/>
        </w:rPr>
        <w:t>E. 1.1</w:t>
      </w:r>
    </w:p>
    <w:p>
      <w:r>
        <w:t>Le recours concerne une ordonnance sujette à recours auprès de la Chambre de céans (art. 393 al. 1 let. a CPP) et émane du titulaire de l'entreprise individuelle visée par les propos litigieux qui, partie à la procédure (art. 104 al. 1 let. b CPP), a (seul) qualité pour agir, ayant un intérêt juridiquement protégé à la modification ou à l'annulation de la décision querellée (art. 382 al. 1 CPP ; arrêt du Tribunal fédéral 6B_701/2016 du 23 mai 2017 consid. 3.1).</w:t>
      </w:r>
    </w:p>
    <w:p>
      <w:r>
        <w:rPr>
          <w:b/>
        </w:rPr>
        <w:t>E. 1.2</w:t>
      </w:r>
    </w:p>
    <w:p>
      <w:r>
        <w:t>L'ordonnance querellée a été expédiée par pli simple, soit un mode de communication qui n'est pas conforme à l'art. 85 al. 2 CPP (applicable aux ordonnances de non-entrée en matière par renvois des art. 310 al. 2 et 321 al. 3 CPP). Dans un tel cas de figure, c'est à l'autorité pénale de supporter le fardeau de la preuve de la notification et de la date de celle-ci, de sorte que si celles-ci sont contestées et qu'il existe effectivement un doute à ce sujet, il y a lieu de se fonder sur les déclarations du destinataire de l'envoi (ATF 142 IV 125 consid. 4.3 p. 128). En l'espèce, le recourant prétend que l'ordonnance du 31 janvier 2020 ne lui est jamais parvenue, ce que son échange de correspondance avec le Ministère public tend à confirmer. Il y a dès lors lieu de se fonder sur ses déclarations et de retenir qu'il n'a pris connaissance de l'ordonnance querellée que le 2 avril 2020, date à laquelle il dit avoir reçu le courrier du 18 mars 2020, par lequel le Ministère public lui a adressé - toujours par pli simple - une copie de ladite ordonnance. Le recours a été déposé dans le délai de dix jours à compter de cette date, qui plus est dans les formes prescrites (art. 385 al. 1 et 396 al. 1 CPP). Il est dès lors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les faits dénoncés dans sa plainte pénale, qui seraient selon lui constitutifs de diffamation.</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et les références citées).</w:t>
      </w:r>
    </w:p>
    <w:p>
      <w:r>
        <w:rPr>
          <w:b/>
        </w:rPr>
        <w:t>E. 3.2</w:t>
      </w:r>
    </w:p>
    <w:p>
      <w:r>
        <w:t>L'art. 173 ch. 1 CP (diffamation)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En revanche,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(ATF 145 IV 462 consid. 4.2.3 p. 464).</w:t>
      </w:r>
    </w:p>
    <w:p>
      <w:r>
        <w:rPr>
          <w:b/>
        </w:rPr>
        <w:t>E. 3.3</w:t>
      </w:r>
    </w:p>
    <w:p>
      <w:r>
        <w:t>En l'espèce, les propos litigieux visent à l'évidence la manière dont le recourant, au travers de son entreprise individuelle, assurait l'exécution du contrat de vente et/ou d'entretien des machines médicales conclu avec la mise en cause, et non le recourant en tant qu'être humain. Le message du 21 octobre 2019 exprime en effet la préoccupation de la mise en cause quant à l'absence de suivi de la part du recourant, puis émet l'hypothèse selon laquelle les machines en question seraient défectueuses, ce que le recourant refusait d'admettre, raison pour laquelle il se dérobait à ses responsabilités (" comme il n'assume pas il fuit "). Ces critiques ne visent pas à exposer le recourant au mépris en tant que personne, mais sont manifestement dirigées contre l'homme de métier, contre l'exploitant d'une entreprise individuelle active dans la vente de matériel médical. Elles sont tout au plus susceptibles d'affecter sa réputation professionnelle, laquelle n'est toutefois pas protégée par les art. 173 ss CP. Le recourant lui-même ne dit pas autre chose lorsqu'il affirme, lors du dépôt de plainte, que plusieurs de ses clients l'avaient par la suite questionné sur son " professionnalisme ". Ainsi, faute pour les propos litigieux d'être attentatoires à l'honneur, le Ministère public était fondé à refuser d'entrer en matière sur la plainte pénale du recourant. Point n'est besoin d'examiner dans ce cadre les autres griefs soulevés, soit ceux liés à l'élément subjectif et à la preuve libératoire. Les réquisitions de preuve sollicitées, notamment celle visant à l'audition de deux clients ayant renoncé à leur commande, seront rejetées, pour les mêmes raisons.</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