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P/23181/2015 vom 9. Mai 2025</w:t>
      </w:r>
    </w:p>
    <w:p>
      <w:r>
        <w:t>GE Cour de justice, 2025-05-09, FR</w:t>
      </w:r>
    </w:p>
    <w:p>
      <w:r>
        <w:rPr>
          <w:b/>
        </w:rPr>
        <w:t xml:space="preserve">Quelle: </w:t>
      </w:r>
      <w:r>
        <w:t>https://mcp.opencaselaw.ch/entscheid/ge_gerichte_P_23181_2015</w:t>
      </w:r>
    </w:p>
    <w:p>
      <w:r>
        <w:t>FR: GE_GERICHTE P/23181/2015 du 9 mai 2025</w:t>
      </w:r>
    </w:p>
    <w:p>
      <w:r>
        <w:t>IT: GE_GERICHTE P/23181/2015 del 9 maggio 2025</w:t>
      </w:r>
    </w:p>
    <w:p>
      <w:pPr>
        <w:pStyle w:val="Heading2"/>
      </w:pPr>
      <w:r>
        <w:t>Regeste</w:t>
      </w:r>
    </w:p>
    <w:p>
      <w:r>
        <w:t>DÉTENTION DE STUPÉFIANTS | CP.146; CP.47; CP.53; LStup.19.al1.letb</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Des déclarations successives ne doivent pas nécessairement être écartées du seul fait qu'elles sont contradictoires ; il appartient au juge de retenir, sans arbitraire, la version qui lui paraît la plus convaincante et de motiver les raisons de son choix. Face à des aveux suivis de rétractation, le juge doit procéder conformément au principe de la libre appréciation des preuves. Il convient de procéder à une évaluation globale de l'ensemble des preuves rassemblées au dossier, en s'attachant à la force de conviction de chaque moyen de preuve et non à la nature de la preuve administrée (arrêts du Tribunal fédéral 6B_275/2014 du 5 novembre 2014 consid. 6.2 ; 6B_429/2008 du 7 novembre 2008 consid. 4.2.2).</w:t>
      </w:r>
    </w:p>
    <w:p>
      <w:r>
        <w:rPr>
          <w:b/>
        </w:rPr>
        <w:t>E. 2.2</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À teneur de l'article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peut consister soit à induire la victime en erreur, par des affirmations fallacieuses ou par la dissimulation de faits vrais, soit à conforter la victime dans son erreur.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jouir des prestations servies, l'autorité d'assistance n'a pas à procéder à des vérifications particulières (arrêt du Tribunal fédéral 6B_1369/2019 du 22 janvier 2020 consid. 1.1.2 et les références citées). Celui qui, en tant que bénéficiaire de l'aide sociale ou de prestations d'assurances sociales, donne des indications fausses ou incomplètes sur sa situation financière, comprenant tant ses revenus que sa fortune, induit activement en erreur l'autorité par un acte au moins implicite (arrêt du Tribunal fédéral 6B_688/2021 du 18 août 2022 consid. 2.3.2 ; cf. ATF 140 IV 206 consid. 6.3.1.3 ; 131 IV 83 consid. 2.2 ; arrêt 6B_1362/2020 du 20 juin 2022 avec références citées).</w:t>
      </w:r>
    </w:p>
    <w:p>
      <w:r>
        <w:rPr>
          <w:b/>
        </w:rPr>
        <w:t>E. 2.4</w:t>
      </w:r>
    </w:p>
    <w:p>
      <w:r>
        <w:t>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Les dispositions générales du code pénal peuvent être applicables aux infractions en matière de stupéfiants. À cet égard, la LStup laisse une place à la complicité notamment lorsque l'assistance porte sur l'acte d'un autre, présente un caractère accessoire et ne constitue pas en elle-même une infraction expressément définie comme telle par la loi (ATF 133 IV 187 consid. 3.2 p. 193 ; 115 IV 59 consid. 3 p. 61). Tel est, par exemple, le cas de celui qui fait le guet pendant une transaction (arrêt du Tribunal fédéral 6B_1230/2015 du 22 avril 2016 consid. 4.2.2), met à disposition un véhicule pour le transport de stupéfiants, aide à aménager une cachette dans une voiture (ATF 106 IV 72 consid. b p. 73) ou tient le volant d'un véhicule en panne sachant qu'il y a de la drogue à bord (ATF 113 IV 90 consid. 2 p. 90 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 En matière d'infractions à l'art. 19 LStup, dès que le prévenu accomplit l'un des actes visés par cette disposition, il est l'auteur de l'infraction ; une participation à un autre titre, telle une complicité, n'entre pas en ligne de compte (ATF 133 IV 187 consid. 3.2 p. 193 ; arrêt du Tribunal fédéral 6B_419/2016 du 10 avril 2017 consid. 2.2).</w:t>
      </w:r>
    </w:p>
    <w:p>
      <w:r>
        <w:rPr>
          <w:b/>
        </w:rPr>
        <w:t>E. 2.5</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 2.6.1. L'appelant conteste avoir intentionnellement caché ses revenus tirés d'une activité accessoire de vente de tabac à l'assurance chômage. Il expose avoir remboursé la caisse de chômage dans l'intention de bénéficier d'un classement au sens de l'art. 53 CP dans son ancienne teneur, qui n'exigeait pas que le délinquant ait reconnu les faits pour le faire bénéficier d'une décision de classement, l'actuel art. 53 let. c., qui prévoit cette condition, étant entré en vigueur le 1 er juillet 2019. Il conteste ainsi avoir reconnu les faits. Immédiatement après son interpellation le 31 mars 2015, l'appelant a admis avoir réalisé des revenus dans son commerce, alors qu'il était bénéficiaire de prestations de l'assurance chômage depuis " quatre ou cinq mois ". Même s'il n'a fourni strictement aucune pièce au sujet de cette activité (il n'y a d'ailleurs jamais été invité par le MP), il faut retenir que celle-ci a à tout le moins débuté en automne 2014, comme l'a expliqué l'appelant initialement. Ce n'est en effet que plusieurs mois après son interpellation qu'il est revenu sur ses déclarations, et singulièrement après que le MP l'a prévenu d'escroquerie pour avoir caché cette activité à l'assurance-chômage. L'ampleur du bénéfice réalisé (CHF 15'000.-, ce qui correspond à plus de deux tonnes de marchandises puisqu'il expose avoir réalisé un gain de CHF 7.- par kilo) vient d'ailleurs appuyer ses déclarations initiales, dans la mesure où il paraît impossible qu'il ait mis sur pied une opération de cette importance en moins de deux mois, étant souligné qu'après son arrestation il n'a plus jamais été en mesure de faire fonctionner ce commerce, alors qu'il avait acquis une structure pour ce faire. L'appelant a également initialement admis avoir exercé sporadiquement une activité de chauffeur pendant qu'il était au bénéfice de prestations de l'assurance chômage, avant de se rétracter, à nouveau plusieurs mois plus tard. Le raisonnement qui précède vaut toutefois également pour cette activité. Au chômage, l'appelant percevait un revenu de 30% inférieur à celui perçu en emploi ; il n'aurait pas pu constituer des économies aussi importantes que celles saisies par la police en mars 2015 s'il n'avait pas exercé une activité lucrative non déclarée, ce qu'il a d'ailleurs (quoi qu'il en dise dans son appel) initialement admis (supra B.c.b.). Dans ces circonstances, l'appelant a bel et bien caché à l'assureur chômage les revenus tirés de ses activités non déclarées, et perçu indûment les prestations de cette assurance. Le remboursement intervenu, portant sur les mois de janvier et février 2015, ne couvre pas toute la période puisque – même si l'appelant a été évasif sur ce point – la Cour retient qu'il a travaillé à tout le moins dès l'automne 2014. Le verdict de culpabilité d'escroquerie doit donc être confirmé. 2.6.2. L'appelant conteste toute infraction à la LStup en lien avec la détention de marijuana dans son appartement entre Noël 2020 et début février 2021, affirmant avoir ignoré qu'il s'agissait de stupéfiants illicites. Il se prévaut notamment d'une erreur sur les faits. Les explications fournies par l'appelant au sujet de la provenance de ces stupéfiants sont pour le moins insolites : il affirme avoir accepté de garder une douzaine de kilos de ce qu'il pensait être un produit inoffensif (du CBD) pour dix jours et être indemnisé pour ce service par l'effacement d'une dette de CHF 1'000.-. L'appelant se dit spécialiste du commerce de produits à fumer, ayant vendu, entre 2014 et 2015, plus de deux tonnes de tabac. Il ne peut donc prétendre ignorer complètement les pratiques commerciales en la matière. Il n'est tout simplement pas crédible qu'il ait cru que la somme de CHF 1'000.- soit un paiement normal pour garder pendant dix jours une douzaine de kilos de CBD, marchandise légale, qui pouvait ainsi être stockée dans un entrepôt ou une entreprise, même si sa valeur marchande (CHF 1'000.-/kg : C-794) est nettement supérieure à celle du tabac. L'appelant a d'ailleurs pris les mesures pour dissimuler cette marchandise (valise fermée, utilisation d'un sac de sport pour ne pas laisser les produits en vue). Le fait qu'il ne soit pas lui-même consommateur de marijuana mais uniquement de haschich est à cet égard sans pertinence et la Cour peine à comprendre quel argument l'appelant entend en tirer. L'ensemble de ces circonstances conduit la Cour à retenir, comme le Tribunal, que l'appelant devait à tout le moins se douter que tout ou partie de la marchandise confiée n'était pas du cannabis légal, ce qui s'est avéré être le cas puisqu'environ 15% de la marchandise était de la marijuana. Il a accepté de prendre ce risque par appât du gain, en toute connaissance de cause, et se prévaut ainsi à tort d'une erreur sur les faits. L'art. 19 al. 1 LStup réprime le seul fait d'entreposer (let. b) ou détenir (let. d) des stupéfiants, indépendamment de toute intention de les vendre. Le verdict d'infraction à l'art. 19 al. 1 LStup doit dès lors être confirmé. Compte tenu de l'intention de l'appelant, seule l'infraction à la lettre b (pour l'entreposage d'une quantité de 1.722 kg de marijuana) sera retenue, le TP n'ayant pas retenu celle à la lettre d.</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53 aCP (dans sa teneur en vigueur au moment des faits qualifiés d'escroquerie),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Lorsque les conditions – cumulatives – de l'art. 53 CP sont réunies, l'exemption par le juge est obligatoire. Si elles ne sont réalisées qu'en instance de jugement, il y a lieu de déclarer l'auteur coupable, tout en renonçant à lui infliger une peine (ATF 135 IV 27 consid. 2.3 p. 30). La possibilité offerte par l'art. 53 CP fait appel au sens des responsabilités de l'auteur en le rendant conscient du tort qu'il a causé – la notion est plus large que celle du dommage occasionné à des tiers et englobe d'autres intérêts, publics et non matériels notamment – et elle doit contribuer à améliorer les relations entre l'auteur et le lésé et à rétablir ainsi la paix publique. Il convient cependant d'éviter de privilégier les auteurs fortunés susceptibles de monnayer leur sanction (ATF 135 IV 12 consid. 3.4.1 p. 21). Le fait que la gravité des faits se situe dans le cadre de l'art. 53 lit. a aCP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 ; arrêt du Tribunal fédéral 6B_130/2016 du 21 novembre 2016 consid. 3.1).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même avant l'introduction dans la loi de l'exigence d'avoir reconnu les faits (art. 53 let. c, en vigueur depuis le 1 er juillet 2019), le prévenu devait démontrer par la réparation du dommage qu'il assumait ses responsabilités et reconnaissait notamment le caractère illicite ou du moins incorrect de son acte (ATF 135 IV 12 consid. 3.5.3 p. 25 ; arrêts du Tribunal fédéral 6B_130/2016 du 21 novembre 2016 consid.3.1 et 6B_152/2007 du 13 mai 2008 consid. 5.2.3 et 5.2.4). Par ailleurs, le prononcé d'une sanction dans un cas où il est reproché à l'auteur de l'infraction d'avoir trompé une autorité se justifie aussi dans l'optique de la prévention générale ; le simple remboursement des montants touchés sans droit et l'absence de punition favoriseraient la tromperie (arrêt du Tribunal fédéral 6B_558/2009 du 26 octobre 2009 consid. 2.2, relatif à un cas où une personne avait obtenu des prestations sociales de manière indue, sur la base de fausses déclarations, et avait commencé à rembourser avant même le prononcé de sa condamnation pénale). Quant à l'impératif de prévention spéciale, comme il est déjà au centre de la question de l'octroi du sursis (pour lequel la réparation du dommage constitue également un élément pertinent [art. 42 al. 3 CP]), que présuppose l'exemption de peine selon l'art. 53 CP, il ne joue, en règle générale, qu'un rôle de second plan dans l'appréciation de l'intérêt public (ATF 135 IV 12 consid. 3.4.3 p. 23 ; arrêt du Tribunal fédéral 6B_130/2016 du 21 novembre 2016 consid. 3.1).</w:t>
      </w:r>
    </w:p>
    <w:p>
      <w:r>
        <w:rPr>
          <w:b/>
        </w:rPr>
        <w:t>E. 3.3</w:t>
      </w:r>
    </w:p>
    <w:p>
      <w:r>
        <w:t>La juridiction d'appel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 er novembre 2017). Dans sa jurisprudence récente, la Cour de céans a considéré adéquate une peine pécuniaire de 180 jours-amende pour une infraction à la LStup commise par un récidiviste et portant sur 112 grammes de marijuana, 16 grammes de haschich, six pilules d'ecstasy d'un poids total de 3.3 grammes, plusieurs cailloux de crack conditionnés pour la vente d'un poids total de 5 grammes ( AARP/84/2025 du 5 mars 2025) ; elle a prononcé une peine théorique de 80 jours-amende pour la détention de 1'381.1 grammes de produits cannabiques dont à tout le moins une partie était destinée à la vente ( AARP/442/2023 du 28 novembre 2023) ; une peine privative de liberté de quatre mois pour la vente de 150 grammes de haschich ( AARP/285/2024 du 12 août 2024), ou encore de dix mois pour l'importation de 22 kilos de marijuana ( AARP/453/2023 du 5 décembre 2023). L'appelant a, pour les deux infractions retenues, agi par appât du gain, alors que rien dans sa situation personnelle ne justifiait qu'il recourt à des moyens illicites pour subvenir à ses besoins. Il était au bénéfice de prestations de l'assurance chômage lors des faits d'escroquerie. Il n'était pas toxicodépendant et a agi par pur intérêt personnel. Sa situation financière s'était péjorée lors de son interpellation pour infraction à la LStup, puisqu'il semble avoir alors été au bénéfice de prestations d'assistance ; cela étant ce bénéfice avait justement pour objectif de lui permettre de subvenir à ses besoins et le fait de se livrer à un trafic de stupéfiants, même en servant simplement de dépositaire, ne se justifie pas. L'appelant ne fait preuve d'aucune prise de conscience. S'il a remboursé une partie des montants perçus de l'assurance chômage, il s'est gardé de fournir le moindre détail sur le commerce perçu et ses modalités de rémunération ; il sera tenu compte toutefois du fait que le MP n'a guère instruit cet aspect et n'a pas non plus renseigné la caisse de chômage lorsque celle-ci s'est enquise d'informations pour déterminer l'ampleur de son dommage. L'absence d’antécédents a un effet neutre sur la fixation de la peine. Il sera tenu compte d'une violation du principe de célérité dans le traitement de la procédure, qui a connu des temps morts injustifiés entre le prononcé de la première ordonnance pénale en avril 2017 et la première audience qui a suivi, laquelle s'est tenue en février 2018 ; puis à nouveau pendant toute l'année 2019, pendant laquelle le MP n'a procédé à aucun acte d'instruction (sinon une extension de l'instruction pour contravention à l'art. 325 CP, en juin 2019, pour des faits commis entre 2015 et 2017 et donc déjà partiellement prescrits, qui l'ont été complètement en cours de procédure). En 2020, plusieurs audiences ont dû être annulées en raison de l'épidémie de Covid, et si un avis de prochaine clôture a été émis le 26 mai 2020, il n'a été suivi d'aucune décision avant la nouvelle arrestation de l'appelant en février 2021. Ces retards doivent conduire à une légère réduction de la peine encourue par l'appelant. 3.6.2. L'infraction objectivement la plus grave est l'escroquerie, qui justifie le prononcé d'une peine de l'ordre de 120 jours-amende. Cette peine devrait être aggravée d'au moins 90 jours-amende pour tenir compte de l'infraction à la LStup, qui, par sa gravité, justifierait à elle-seule une peine théorique de 120 jours-amende ; compte tenu de la réduction liée à la violation du principe de célérité, et surtout en raison du plafond de l'art. 34 CP, la peine concrète devrait être fixée à 180 jours-amende. L'interdiction de la reformatio in pejus (art. 391 al. 2 CPP) y fait toutefois obstacle et la peine pécuniaire de 140 jours-amende prononcée par le premier juge doit dès lors être confirmée. Le montant du jour-amende, qui correspond au minimum légal, sera confirmé, tout comme le bénéfice du sursis et le délai d'épreuve de trois ans, qui est adéquat.</w:t>
      </w:r>
    </w:p>
    <w:p>
      <w:r>
        <w:rPr>
          <w:b/>
        </w:rPr>
        <w:t>E. 4</w:t>
      </w:r>
    </w:p>
    <w:p>
      <w:r>
        <w:t>4.1.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Il découle de cette disposition que la détention avant jugement doit être imputée sur la peine, indépendamment du fait que celle-ci soit assortie du sursis ou non et qu'il s'agisse d'une peine pécuniaire ou privative de liberté (ATF 141 IV 236 consid. 3.3 p. 239 ; ATF 135 IV 126 consid. 1.3.6 p. 129).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 Le Tribunal fédéral a considéré comme suffisantes les déductions suivantes de la peine privative de liberté prononcée : -          une déduction de cinq jours, pour tenir compte d'une mesure de substitution consistant en l'obligation de se présenter une fois par semaine à un poste de police, exécutée à raison de 81 semaines (arrêt du Tribunal fédéral 6B_990/2020 du 26 novembre 2021 consid. 2.5.2) ; -          aucune déduction pour des mesures de substitution limitées à l'interdiction d'une activité lucrative dans un domaine précis et pendant un créneau horaire particulier (monde de la nuit), celles-ci n'étant pas assimilables à une exécution de peine, de sorte qu'il n'y avait pas lieu de les imputer (arrêt du Tribunal fédéral 6B_1385/2019 du 27 février 2020 consid. 6) ; -          une déduction de 14 jours pour un prévenu qui avait l'interdiction de quitter la Suisse et l'obligation de déposer ses papiers, pendant plusieurs années, et ce quand bien même les deux parents du prévenu étaient décédés pendant la procédure sans qu'il puisse leur rendre visite (arrêt du Tribunal fédéral 6B_1225/2019 du 8 avril 2020) ; -          une déduction de deux jours, compte tenu de dix séances de thérapies auxquelles avait pris part l'intéressé (arrêt du Tribunal fédéral 6B_115/2018 du 30 avril 2018 consid. 6).</w:t>
      </w:r>
    </w:p>
    <w:p>
      <w:r>
        <w:rPr>
          <w:b/>
        </w:rPr>
        <w:t>E. 4.2</w:t>
      </w:r>
    </w:p>
    <w:p>
      <w:r>
        <w:t>En l'espèce, l'appelant allègue avoir subi des mesures de substitution pendant 698 jours (soit un peu moins de deux ans). Le premier juge a relevé l'absence de prolongation au-delà du délai de six mois mais tenu compte du respect ultérieur des mesures de substitution ; l'appelant ne se prononce pas sur cette incongruité dans son appel. Dans la mesure où il s'est soumis aux "mesures" échues, il en sera exceptionnellement tenu compte, quand bien même il est douteux que ces "mesures" aient porté une quelconque atteinte à l'appelant, puisqu'il n'en a jamais demandé la levée avant février 2017 et a de surcroît bénéficié de plusieurs aménagements. Il ne démontre en particulier pas, au-delà de ses affirmations, avoir souffert de l'interdiction de contact avec sa future épouse, dont il n'a pas demandé la suppression. S'il avait vraiment, comme il l'allègue, souffert d'une telle interdiction, nul doute qu'il en aurait demandé la levée à l'échéance, l'intéressée ayant de surcroît été définitivement condamnée pour les faits qui lui étaient reprochés et l'interdiction de contact n'ayant guère de sens après cette condamnation. L'appelant a d'ailleurs été en mesure de solliciter et d'obtenir des aménagements pour récupérer ses documents d'identité, ce qui démontre qu'il était en mesure de comprendre la possibilité de modifier lesdites mesures. La présentation hebdomadaire à un poste de police situé à proximité du domicile du prévenu représente au plus une heure par semaine, soit moins d'un pourcent de son temps (si l'appelant avait été détenu il l'aurait été pendant 168 heures par semaine), et à peine 2.5 % des heures de travail usuelles sur une semaine, le prévenu n'ayant d'ailleurs pas allégué avoir été restreint dans son activité lucrative en raison de ce contrôle judiciaire. Le dépôt de ses documents d'identité ne l'a pas gêné puisque l'appelant a pu les récupérer lorsque cela a été nécessaire. Enfin, il n'allègue à raison pas que l'astreinte à résider à son adresse officielle l'aurait entravé dans sa liberté, puisqu'il y vit encore. Ainsi et au vu de la jurisprudence évoquée ci-dessus, la prise en compte globale à hauteur de 5% effectuée par le premier juge apparaît globalement adéquate, voire généreuse, et sera confirmée.</w:t>
      </w:r>
    </w:p>
    <w:p>
      <w:r>
        <w:rPr>
          <w:b/>
        </w:rPr>
        <w:t>E. 5</w:t>
      </w:r>
    </w:p>
    <w:p>
      <w:r>
        <w:t>5.1. 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4.4 et 4.5 p. 255 s. ; arrêts du Tribunal fédéral 6B_35/2017 du 26 février 2018 consid. 9.1). Si l'objet en cause ne représente un danger qu'entre les mains de l'auteur, également propriétaire, le principe de proportionnalité impose de réaliser le bien et de lui verser le produit net de la vente. Est déterminant le fait que l'objet soit réalisable, soit qu'il puisse être acquis et détenu de manière régulière, qu'il ait une certaine valeur vénale et qu'il puisse être utilisé conformément à la loi. Le produit de vente escompté ne doit pas apparaître manifestement trop faible en rapport aux coûts de conservation et de réalisation du bien (ATF 135 I 209 consid. 3.3.2, 4.1 et 4.2 ; cf. également Message du Conseil fédéral concernant la modification du Code pénal suisse et du Code pénal militaire du 30 juin 1993, FF 1993 III 269 , p. 298 et arrêt du Tribunal fédéral 6B_381/2008 du 30 septembre 2008 consid. 3.1.1).</w:t>
      </w:r>
    </w:p>
    <w:p>
      <w:r>
        <w:rPr>
          <w:b/>
        </w:rPr>
        <w:t>E. 5.2</w:t>
      </w:r>
    </w:p>
    <w:p>
      <w:r>
        <w:t>En l'espèce, l'appelant conclut à la restitution de la machine à mettre sous vide "à son ayant-droit", sans désigner celui-ci. Il faut en déduire que l'appelant ne revendique pas la propriété de cet appareil et ignore qui en est le propriétaire, sinon il aurait nommément désigné la personne à qui le restituer. Les hésitations de l'appelant et de son ex-épouse, lors de leurs auditions successives, au sujet de la provenance de cette machine expliquent vraisemblablement une conclusion aussi vague. Dans ces circonstances, la Cour ne peut que parvenir à la conclusion que cet appareil a servi à conditionner le CBD et la marijuana retrouvés à proximité, qui étaient emballés sous vide ; l'absence de trace sur cette machine n'exclut en effet pas un tel usage puisqu'aucun examen n'a été pratiqué. Dans ces circonstances, cette machine doit être soustraite à la circulation. Compte tenu du peu de valeur d'un tel objet, en ordonner la vente apparaît disproportionné et seule sa confiscation et sa destruction permettront d'éviter que cet objet soit à nouveau utilisé pour commettre une infraction à la LStup.</w:t>
      </w:r>
    </w:p>
    <w:p>
      <w:r>
        <w:rPr>
          <w:b/>
        </w:rPr>
        <w:t>E. 6</w:t>
      </w:r>
    </w:p>
    <w:p>
      <w:r>
        <w:t>Le jugement entrepris doit ainsi être intégralement confirmé. Dans cette mesure, son dispositif ne sera pas modifié, nonobstant le fait que la Cour de céans a écarté l'application de l'art. 53 CP.</w:t>
      </w:r>
    </w:p>
    <w:p>
      <w:r>
        <w:rPr>
          <w:b/>
        </w:rPr>
        <w:t>E. 7</w:t>
      </w:r>
    </w:p>
    <w:p>
      <w:r>
        <w:t>L'appelant, qui succombe, supportera les frais de la procédure envers l'État (art. 428 CPP).</w:t>
      </w:r>
    </w:p>
    <w:p>
      <w:r>
        <w:rPr>
          <w:b/>
        </w:rPr>
        <w:t>E. 8</w:t>
      </w:r>
    </w:p>
    <w:p>
      <w:r>
        <w:t>Le rejet de l'appel entraîne le rejet des conclusions en indemnisation de l'appelant (art. 429 et 436 CPP).</w:t>
      </w:r>
    </w:p>
    <w:p>
      <w:r>
        <w:rPr>
          <w:b/>
        </w:rPr>
        <w:t>E. 9.1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En l'occurrence, la durée des entretiens entre le défenseur d'office et son mandant sera ramenée à une heure, suffisante pour exposer les enjeux de l'appel et discuter des conclusions. La durée de rédaction du mémoire d'appel et des conclusions en indemnisation, sera ramenée à dix heures, incluant l'étude du dossier, lequel ne comporte que quatre classeurs, dont l'un de pièces de forme et l'autre est la copie du dossier de D______ ; la procédure était d'ailleurs déjà connue du conseil de l'appelant qui l'a assisté devant le premier juge. En conclusion, la rémunération sera arrêtée à CHF 2'616.- correspondant à onze heures d'activité au tarif de CHF 200.-/heure plus la majoration forfaitaire de 10 % et l'équivalent de la TVA au taux de 8.1% en CHF 196.-.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