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P/23165/2017 vom 8. März 2019</w:t>
      </w:r>
    </w:p>
    <w:p>
      <w:r>
        <w:t>GE Cour de justice, 2019-03-08, FR</w:t>
      </w:r>
    </w:p>
    <w:p>
      <w:r>
        <w:rPr>
          <w:b/>
        </w:rPr>
        <w:t xml:space="preserve">Quelle: </w:t>
      </w:r>
      <w:r>
        <w:t>https://mcp.opencaselaw.ch/entscheid/ge_gerichte_P_23165_2017</w:t>
      </w:r>
    </w:p>
    <w:p>
      <w:r>
        <w:t>FR: GE_GERICHTE P/23165/2017 du 8 mars 2019</w:t>
      </w:r>
    </w:p>
    <w:p>
      <w:r>
        <w:t>IT: GE_GERICHTE P/23165/2017 del 8 marzo 2019</w:t>
      </w:r>
    </w:p>
    <w:p>
      <w:pPr>
        <w:pStyle w:val="Heading2"/>
      </w:pPr>
      <w:r>
        <w:t>Regeste</w:t>
      </w:r>
    </w:p>
    <w:p>
      <w:r>
        <w:t>LÉSION CORPORELLE PAR NÉGLIGENCE | CP.125; CP.12.al3; CPP.428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2.2.1.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2.2.2. 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 6B_230/2016 du 8 décembre 2016 consid. 1.1).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p. 140). La violation des devoirs de la prudence peut aussi être déduite des principes généraux (ATF 135 IV 56 consid. 2.1 p. 64), si aucune règle spéciale de sécurité n'a été violée.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p. 128 ; ATF 136 IV 76 consid. 2.3.1 p. 79 ; arrêts du Tribunal fédéral 6B_466/2016 du 23 mars 2017 consid. 3.1 et les références ; 6B_230/2016 du 8 décembre 2016 consid. 1.1 et les références).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 6B_230/2016 du 8 décembre 2016 consid. 1.1 et les références). 2.2.3. Il faut qu'il existe un rapport de causalité naturelle et adéquate entre la violation fautive du devoir de prudence et l'atteinte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Il n'est pas nécessaire que l'événement considéré soit la cause unique ou immédiate du résultat (ATF 143 III 242 consid. 3.7 p. 249 s. ; ATF 138 IV 57 consid. 4.1.3 p. 61 et les références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(ATF 143 III 242 consid. 3.7 p. 250 ; ATF 142 III 433 consid. 4.5 p. 438 ; ATF 138 IV 57 consid. 4.1.3 p. 61 et les références ; ATF 131 IV 145 consid. 5.2 p. 148 ; arrêt du Tribunal fédéral 6B_230/2016 du 8 décembre 2016 consid. 1.1). La causalité adéquate dépend d'une probabilité objective : il faut se demander si un "tiers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 imputer le résultat à la commission de l'acte (ATF 131 IV 145 consid. 5.1 p. 147 s. et les références). Pour qu'une cause soit adéquate, il n'est pas nécessaire que le résultat se produise régulièrement ou fréquemment ; une telle conséquence doit demeurer dans le champ raisonnable des possibilités objectivement prévisibles (ATF 143 III 242 consid. 3.7 p. 250 ; ATF 139 V 176 consid. 8.4.2 et les références ; ATF 119 Ib 334 consid. 5b p. 345). 2.3.1. En l'espèce, il existe entre les déclarations des différents protagonistes et témoins des incohérences et contradictions importantes. 2.3.2.1. L'intimé a soutenu durant toute la procédure, en contradiction avec l'ensemble des autres témoignages, qu'après le refus de l'appelant de les laisser lui et son ami retourner dans la boite de nuit alors qu'ils étaient sortis fumer une cigarette, il était resté assis à l'extérieur, durant 40 minutes, sans causer de scandale. Les témoins E______ et I______, ainsi que l'appelant, ont tous expliqué l'inverse, soit qu'à la suite du refus par le prévenu de laisser revenir l'intimé dans l'établissement, celui-ci avait adopté un comportement agressif, invectivant l'appelant, lequel était resté impassible et calme pendant 45 minutes face aux provocations. L'épisode selon lequel l'appelant avait effacé son tampon avec un mouchoir imbibé d'alcool n'est corroboré par aucun témoignage et ne fait aucun sens, puisqu'il n'a jamais été contesté que l'intimé avait préalablement été admis dans l'établissement. 2.3.2.2. Au vu de ce qui précède, la Cour ne saurait qualifier de crédibles, dans leur ensemble, les déclarations de l'intimé. Toutefois, elle considère comme plausibles et établi les faits secondaires suivants, l'intimé n'ayant aucun intérêt à mentir et le dossier de la procédure ne permettant pas d'en douter ou confirmant ces aspects : il avait consommé huit petits verres de whisky et de vodka avant de se rendre auprès de l'établissement D______ et aucun coup n'a été échangé entre lui et l'appelant. 2.3.3. La version des faits telle que soutenue par l'appelant est confirmée sur les points essentiels à l'établissement de l'infraction de lésions corporelles par négligence par la témoin I______, mais contredite sur ces mêmes points par la témoin E______. 2.3.3.1. Selon la première, l'intimé avait été sorti de l'établissement par la sécurité et tentait de forcer le passage afin d'y retourner, gênant les personnes qui voulaient y entrer. Après lui avoir à plusieurs reprises demandé de se pousser et que le plaignant se soit énervé, l'appelant l'avait saisi sous les bras pour l'emmener à une distance de sept ou huit mètres. Durant ce déplacement, l'intimé parlait, prononçant des mots qui ne semblaient pas être du français et ses pieds touchaient le sol. La témoin a précisé être sûre de ce dernier détail étant donné qu'elle avait trouvé la situation risible puisque l'appelant était recroquevillé sur le plaignant pour pouvoir le tenir de la sorte et marcher avec lui. Quand l'appelant l'avait lâché, l'intimé était tombé et elle avait pensé qu'il devait être alcoolisé, ce qu'elle avait auparavant remarqué puisque l'intimé titubait. Il n'y a pas raison de douter de la crédibilité de ces déclarations. Elles sont particulièrement détaillées, notamment en ce qui concerne la langue parlée par l'intimé ainsi que la position des deux protagonistes, cohérente avec la différence de taille significative entre les deux hommes, et étant précisé que l'intimé n'était pas présent au moment de l'audition du témoin I______ ce qui ajoute encore à la pertinence de ce détail. L'évocation du sentiment que la jeune femme a eu, soit que la scène prêtait à rire, est un autre élément de crédibilité du récit. Enfin, l'appelant et ledit témoin ne s'accordent pas sur la manière dont le premier nommé tenait l'intimé, celui-ci ayant maintenu que c'était par le thorax alors que la seconde a elle expliqué que c'était sous les bras. Il ne semble ainsi pas qu'ils se soient accordé sur une version commune, étant rappelé que le témoin a au surplus déclaré ne pas connaître l'appelant et l'avoir croisé par hasard sur son ancien lieu de travail, établissement qu'elle fréquente régulièrement. 2.3.3.2. Le témoin E______ a déclaré que le soir des faits, après que l'appelant lui eut refusé l'entrée de l'établissement, l'intimé avait fait un scandale à l'entrée s'exprimant de manière virulente dans une autre langue. Au bout d'un certain moment, il était venu au contact de l'appelant, tentant de le saisir par l'épaule. Le prévenu l'aurait alors saisi par le cou, sans avoir l'intention de l'étrangler, et ce afin de l'éloigner pour qu'il arrête de déranger les clients de la boîte de nuit. Durant le déplacement les pieds de l'intimé ne touchaient pas le sol. Au moment où il a été relâché, ce dernier s'est effondré sur le sol, sans mettre les mains, à la suite de la perte de connaissance engendrée par sa strangulation involontaire. L'intimé s'était immédiatement relevé et était allé cracher du sang sur les vitres et les clients qui attendaient à l'entrée. Elle n'a pas indiqué si l'intimé était, selon elle, alcoolisé et la question ne lui a jamais été posée non plus. Tout comme celles du témoin I______, les déclarations du témoin E______ sont crédibles. Cette dernière n'a jamais varié dans son témoignage et n'a pas cherché à charger inutilement ou au contraire à disculper l'appelant. Elle a également donné nombre de détails sur le déroulement de la soirée qui renforcent la crédibilité de son témoignage. 2.3.4.1. Les éléments sur lesquels les deux témoins sont discordants, sont essentiels. Si, comme le témoin I______ l'explique, l'intimé parlait et marchait lorsque l'appelant l'a saisi pour le mettre à l'écart de l'entrée de l'établissement, on ne saurait reprocher au prévenu d'avoir violé des règles de prudence en lâchant le plaignant. En effet, une personne raisonnable n'aurait pas pu prévoir que l'intimé, conscient puisqu'il marchait et parlait, se serait soudainement écroulé, au lieu de tenir debout une fois libéré de l'étreinte de l'appelant, dont il n'a jamais été soutenu qu'il l'aurait poussé. En revanche, si l'intimé était suspendu au bras de l'appelant, par le cou, ce dernier aurait dû prévoir qu'il existait un risque que l'autre homme fût étranglé par cette prise et s'écroulât au sol en se blessant, une fois relâché, la négligence étant dans ce cas réalisée. La même analyse s'applique s'agissant du lien de causalité naturel. En effet, selon le cours ordinaire des choses et l'expérience générale de la vie, lorsqu'on lâche quelqu'un qui marche et parle, on ne peut pas s'attendre à ce qu'il s'écroule. A l'inverse si les pieds de l'autre personne ne touchent pas le sol, la probabilité qu'elle tombe et se blesse existe, et confine à la certitude si la victime a au surplus perdu conscience. 2.3.4.2. Les deux témoignages ayant été considérés crédibles et aucun élément au dossier ne permettant d'en retenir un plutôt que l'autre, il faut, conformément au principe in dubio pro reo , retenir celle des deux versions la plus favorable au prévenu, soit celle du témoin I______. Par conséquent, les conditions de la négligence et du lien de causalité, à tout le moins naturels, faisant défaut sur la base de cette version, il y a lieu de prononcer l'acquittement de l'appelant du chef de lésions corporelles par négligence. L'appel sera ainsi admis et le jugement modifié en ce sens.</w:t>
      </w:r>
    </w:p>
    <w:p>
      <w:r>
        <w:rPr>
          <w:b/>
        </w:rPr>
        <w:t>E. 3</w:t>
      </w:r>
    </w:p>
    <w:p>
      <w:r>
        <w:t>L'appel ayant été admis, il ne sera pas perçu de frais (art. 428 CPP).</w:t>
      </w:r>
    </w:p>
    <w:p>
      <w:r>
        <w:rPr>
          <w:b/>
        </w:rPr>
        <w:t>E. 4.1</w:t>
      </w:r>
    </w:p>
    <w:p>
      <w:r>
        <w:t>L'art. 429 al. 1 let. a CPP prévoit que si le prévenu est acquitté totalement ou en partie ou s'il bénéficie d'une ordonnance de classement, il a droit à une indemnité pour les dépenses occasionnées par l'exercice raisonnable de ses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p. 47).</w:t>
      </w:r>
    </w:p>
    <w:p>
      <w:r>
        <w:rPr>
          <w:b/>
        </w:rPr>
        <w:t>E. 4.2</w:t>
      </w:r>
    </w:p>
    <w:p>
      <w:r>
        <w:t>Il est dès lors donné suite aux conclusions en indemnisation de l'appelant en lien avec la procédure de première instance. Un montant de CHF 5'154.-, TVA comprise, lui sera donc alloué à ce titre, l'activité déployée et facturée par son conseil étant considérée en adéquation avec la nature, l'importance et la difficulté de la cause. L'appelant ayant renoncé à toute indemnisation pour la procédure d'appel, aucun montant ne lui sera alloué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