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P/23101/2014 vom 17. November 2016</w:t>
      </w:r>
    </w:p>
    <w:p>
      <w:r>
        <w:t>GE Cour de justice, 2016-11-17, FR</w:t>
      </w:r>
    </w:p>
    <w:p>
      <w:r>
        <w:rPr>
          <w:b/>
        </w:rPr>
        <w:t xml:space="preserve">Quelle: </w:t>
      </w:r>
      <w:r>
        <w:t>https://mcp.opencaselaw.ch/entscheid/ge_gerichte_P_23101_2014</w:t>
      </w:r>
    </w:p>
    <w:p>
      <w:r>
        <w:t>FR: GE_GERICHTE P/23101/2014 du 17 novembre 2016</w:t>
      </w:r>
    </w:p>
    <w:p>
      <w:r>
        <w:t>IT: GE_GERICHTE P/23101/2014 del 17 novembre 2016</w:t>
      </w:r>
    </w:p>
    <w:p>
      <w:pPr>
        <w:pStyle w:val="Heading2"/>
      </w:pPr>
      <w:r>
        <w:t>Regeste</w:t>
      </w:r>
    </w:p>
    <w:p>
      <w:r>
        <w:t>DÉLIT DE CHAUFFARD; DISPOSITIONS PÉNALES DE LA LCR; INTENTION; PRÉSOMPTION; EXCÈS DE VITESSE | LCR.90.3; LCR.90.4.b</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1.2</w:t>
      </w:r>
    </w:p>
    <w:p>
      <w:r>
        <w:t>Celui qui enfreint l'art. 90 al. 3 ou 4 LCR encourt dans tous les cas une peine privative de liberté, d'un an au minimum.</w:t>
      </w:r>
    </w:p>
    <w:p>
      <w:r>
        <w:rPr>
          <w:b/>
        </w:rPr>
        <w:t>E. 2</w:t>
      </w:r>
    </w:p>
    <w:p>
      <w:r>
        <w:t>2.1.1. 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L'al. 3 est toujours applicable lorsque la vitesse maximale autorisée a été dépassée d'au moins 50 km/h, là où la limite est fixée à 50 km/h (art. 90 al. 4 let. b). 2.1.2. L'art. 90 al. 3 et 4 LCR, entré en vigueur le 1 er janvier 2013, consacre une troisième catégorie d'infraction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p. 151 ; arrêt du Tribunal fédéral 6B_700/2015 du 14 septembre 2016).</w:t>
      </w:r>
    </w:p>
    <w:p>
      <w:r>
        <w:rPr>
          <w:b/>
        </w:rPr>
        <w:t>E. 2.2</w:t>
      </w:r>
    </w:p>
    <w:p>
      <w:r>
        <w:t>En l'espèce, l'appelant a roulé à une vitesse dépassant de 58 km/h la vitesse autorisée, marge d'erreur déduite. Cet excès de vitesse entre largement dans les prescriptions de l'art. 90 al. 4 let. b LCR, de sorte que les conditions objectives de l'art. 90 al. 3 LCR sont réunies. Selon le Tribunal fédéral, un tel comportement implique généralement l'impossibilité d'éviter un grand risque d'accident en cas d'obstacle ou de perte de maîtrise du véhicule. Seules des circonstances particulières permettent d'exclure le dol éventuel, le juge ne conservant sur ce point qu'un pouvoir d'appréciation restreint. Or, l'appelant n'allègue aucune des circonstances visées par la jurisprudence. Il se rendait à son travail de bonne heure, sur une route qu'il connaissait bien, allant jusqu'à préciser qu'il était en avance ce jour-là. Il n'a pas prétendu avoir dû rouler très vite pour un motif sérieux et n'a pas mis en cause un éventuel dysfonctionnement de son véhicule. Aucun élément tangible ne permet de penser que la vitesse excessive de l'appelant aurait été consécutive au dépassement d'un véhicule à la conduite hasardeuse qui le précédait. L'excès de vitesse a donc été commis par pure convenance personnelle ou désinvolture, fût-elle momentanée. Les arguments de l'appelant relatifs à la bonne visibilité de la route et à la fluidité du trafic ne lui sont d'aucun secours. L'appelant a indiqué bien connaître les dangers de la vitesse excessive sur la route, de sorte qu'il était conscient de la nature fondamentale pour la sécurité routière des règles y afférents. Il les a nonobstant enfreintes. En vertu de sa qualité de chauffeur professionnel et de son passé de sapeur-pompier, l'appelant devait tenir pour possible le risque d'accident pouvant entraîner de graves blessures ou la mort, et s'en est accommodé. Il s'en suit que l'infraction a bien été commise intentionnellement, soir par dol éventuel. Le verdict de culpabilité prononcé par le premier juge sera ainsi confirmé, nonobstant le changement intervenu dans la jurisprudence.</w:t>
      </w:r>
    </w:p>
    <w:p>
      <w:r>
        <w:rPr>
          <w:b/>
        </w:rPr>
        <w:t>E. 3</w:t>
      </w:r>
    </w:p>
    <w:p>
      <w:r>
        <w:t>2. Aux termes de l'art. 42 CP, le juge suspend en règle générale l'exécution d'une peine privative de liberté lorsqu'une peine ferme ne paraît pas nécessaire pour détourner l'auteur d'autres crimes ou délits. (al. 1). Si le juge suspend totalement ou partiellement l'exécution d'une peine, il impartit au condamné un délai d'épreuve de deux à cinq ans (art. 44 al. 1 CP).</w:t>
      </w:r>
    </w:p>
    <w:p>
      <w:r>
        <w:rPr>
          <w:b/>
        </w:rPr>
        <w:t>E. 3.3</w:t>
      </w:r>
    </w:p>
    <w:p>
      <w:r>
        <w:t>. Le premier juge a arrêté la peine de l'appelant à un an de privation de liberté, soit le minimum fixé par la loi, et l'a mis au bénéfice du sursis, délai d'épreuve de trois ans. Cette décision, qui consacre une application correcte du droit au vu de la faute de l'appelant, lui est acquise (art. 391 al. 2 CPP).</w:t>
      </w:r>
    </w:p>
    <w:p>
      <w:r>
        <w:rPr>
          <w:b/>
        </w:rPr>
        <w:t>E. 4</w:t>
      </w:r>
    </w:p>
    <w:p>
      <w:r>
        <w:t>Vu l'issue de la procédure d'appel, l'appelant sera débouté de ses conclusions en indemnisation (art. 429 CPP a contrario ).</w:t>
      </w:r>
    </w:p>
    <w:p>
      <w:r>
        <w:rPr>
          <w:b/>
        </w:rPr>
        <w:t>E. 5</w:t>
      </w:r>
    </w:p>
    <w:p>
      <w:r>
        <w:t>L'appelant, qui succombe, sera condamné aux frais de la procédure d'appel, qui comprennent un émolument de CHF 1'500.- (art. 428 al. 1 CPP et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