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P/23031/2022 vom 5. Juli 2024</w:t>
      </w:r>
    </w:p>
    <w:p>
      <w:r>
        <w:t>GE Cour de justice, 2024-07-05, FR</w:t>
      </w:r>
    </w:p>
    <w:p>
      <w:r>
        <w:rPr>
          <w:b/>
        </w:rPr>
        <w:t xml:space="preserve">Quelle: </w:t>
      </w:r>
      <w:r>
        <w:t>https://mcp.opencaselaw.ch/entscheid/ge_gerichte_P_23031_2022</w:t>
      </w:r>
    </w:p>
    <w:p>
      <w:r>
        <w:t>FR: GE_GERICHTE P/23031/2022 du 5 juillet 2024</w:t>
      </w:r>
    </w:p>
    <w:p>
      <w:r>
        <w:t>IT: GE_GERICHTE P/23031/2022 del 5 luglio 2024</w:t>
      </w:r>
    </w:p>
    <w:p>
      <w:pPr>
        <w:pStyle w:val="Heading2"/>
      </w:pPr>
      <w:r>
        <w:t>Regeste</w:t>
      </w:r>
    </w:p>
    <w:p>
      <w:r>
        <w:t>VOL(DROIT PÉNAL);EXEMPTION DE PEINE | CP.139; CP.54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 L'art. 139 ch. 1 CP sanctionne quiconque, pour se procurer ou procurer à un tiers un enrichissement illégitime, soustrait une chose mobilière appartenant à autrui dans le but de se l'approprier. L'infraction de vol est constituée de deux éléments constitutifs objectifs, soit une chose mobilière appartenant à autrui et un acte de soustraction (A. MACALUSO / L. MOREILLON / N. QUELOZ (éds), Code pénal II, vol. II, Partie spéciale : art. 111-392 CP, Bâle 2017, N 4 ad art. 139).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soit avoir pour but d'améliorer son patrimoine ou celui d'un tiers, respectivement de réaliser un profit (arrêts du Tribunal fédéral 6B_1043/2015 du 9 décembre 2015 consid. 4.2.1 ; 6B_395/2015 du 25 novembre 2015 consid. 2.2 ; 6B_311/2013 du 28 mai 2013 consid. 2.4.1 ; AARP/126/2021 du 8 avril 2021 consid. 4.1).</w:t>
      </w:r>
    </w:p>
    <w:p>
      <w:r>
        <w:rPr>
          <w:b/>
        </w:rPr>
        <w:t>E. 3.2</w:t>
      </w:r>
    </w:p>
    <w:p>
      <w:r>
        <w:t>En l'espèce, il est établi que l'appelante s'est rendue dans un magasin B______ à Genève et a franchi les caisses automatiques en portant sur l'épaule un sac à provisions contenant des articles pour un montant total de CHF 343.19, dont elle ne s'est pas acquitté. Seule la question de son intention est débattue. Le document que l'appelante a signé dans le commerce B______ ne s'intitule pas " déclaration de vol " comme celle-ci le soutient. À teneur du texte de ladite déclaration, elle concerne le fait d'avoir quitté le magasin sans avoir présenté à la caisse les articles en question. Toutefois, au moment d'apposer sa signature juste en-dessous des cases, cochées, intitulées " vol à l'étalage " et " plainte pénale ", l'appelante n'a pu que se douter que l'intimée lui reprochait d'avoir volé les articles contenus dans son sac, de sorte qu'elle aurait pu refuser de la signer. Elle indique s'être opposée verbalement, en précisant à l'agent de sécurité avoir voulu aller chercher sa carte bancaire, oubliée dans sa voiture. Or, ni la déclaration signée dans le commerce B______ lors de son appréhension, ni le rapport d'arrestation ne font mention d'une telle volonté de l'appelante. Entendue à la police, elle n'en a pas non plus parlé et, si elle reproche à cette dernière la manière dont s'est tenue son audition, elle a non seulement eu l'occasion de relire son procès-verbal mais l'a également signé. En outre, devant le MP, elle s'est contredite s'agissant des raisons pour lesquelles elle ne disposait pas de sa carte bancaire, puisqu'elle a indiqué dans un premier temps que celle-ci avait été volée avant d'expliquer qu'elle se trouvait dans un autre sac à main, dans sa voiture. Pourtant, le rapport de police ne mentionne nullement qu'une carte bancaire aurait été découverte lors de la perquisition du véhicule. Les déclarations de l'appelante ont également varié et apparaissent contradictoires quant aux motifs pour lesquels elle s'est rendue une seconde fois au commerce B______. Alors qu'elle avait déclaré au MP n'avoir initialement eu d'autre intention que celle d'acheter à manger, elle a expliqué en audience de jugement être entrée dans le magasin pour acheter une ceinture chauffante et de la pommade. En outre, son explication selon laquelle elle aurait oublié l'existence de son sac de provisions – pris en rayon quelques minutes auparavant pour l'occasion –, ainsi que son contenu, ne convainc pas. Il est peu crédible que, comme elle le soutient, elle ait pensé à reposer en rayon les trois articles qu'elle portait à la main mais oublié les 18 autres articles placés dans le sac, lesquels devaient nécessairement peser un certain poids au vu de leur quantité, étant par ailleurs rappelé qu'elle portait ledit sac sur son épaule. En outre, si elle pensait réellement avoir reposé en rayon l'intégralité des articles au moment de quitter le commerce pour se rendre à son véhicule et y récupérer sa carte bancaire, l'on peine à comprendre pour quelle raison elle portait, à la main, son porte-monnaie lors de son passage aux caisses automatiques, comme cela ressort des images de vidéosurveillance et de ses déclarations. Si le certificat médical produit accrédite l'existence d'une agression survenue en Italie deux semaines avant les faits, dit document atteste uniquement d'un suivi psychothérapeutique, sans en indiquer toutefois les motifs, et ne rend nullement vraisemblable une quelconque altération de la capacité de discernement de l'appelante ou une diminution de sa responsabilité, au moment des faits. Enfin, l'existence de moyens financiers importants ne permet pas, à elle seule, d'exclure la présence d'un dessein d'appropriation. Partant, les éléments constitutifs objectifs et subjectifs du vol étant réalisés, le verdict de culpabilité rendu à l'encontre de l'appelante du chef d'infraction à l'art. 139 ch. 1 CP, doit être confirmé. L'appel sera par conséquent rejeté sur ce point.</w:t>
      </w:r>
    </w:p>
    <w:p>
      <w:r>
        <w:rPr>
          <w:b/>
        </w:rPr>
        <w:t>E. 4</w:t>
      </w:r>
    </w:p>
    <w:p>
      <w:r>
        <w:t>4.1.1. L'infraction réprimée à l'art. 139 ch. 1 CP est sanctionnée par une peine privative de liberté de cinq ans au plus ou 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Aux termes de l'art. 54 CP,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résultant de la commission même de l'infraction, par exemple s'il a été blessé lors de l'accident qu'il a provoqué, ou psychiques, comme celles qui affectent une mère de famille devenue veuve par suite de l'accident de la circulation qu'elle a causé (ATF 119 IV 280 consid. 2b). Des conséquences indirectes, telle la perte d’une place de travail, la désunion familiale ou la dégradation de la situation financière, voire d'éventuels problèmes psychiques résultant implicitement des suites de l’infraction, ne devraient pas être pris en considération dans le cadre de l'art. 54 CP (ATF 117 IV 245 consid. 2a).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 arrêt 6B_442/2014 du 18 juillet 2014 consid. 2.1). Une exemption totale de peine suite à un délit intentionnel reste très exceptionnelle (L. MOREILLON / A. MACALUSO / N. QUELOZ / N. DONGOIS, op. cit., n. 3 ad art. 54).</w:t>
      </w:r>
    </w:p>
    <w:p>
      <w:r>
        <w:rPr>
          <w:b/>
        </w:rPr>
        <w:t>E. 4.2</w:t>
      </w:r>
    </w:p>
    <w:p>
      <w:r>
        <w:t>En l'occurrence, la culpabilité de l'appelante est relativement légère. Elle a agi par appât du gain sans respect pour la propriété d'autrui, mais il convient de tenir compte du faible montant de son butin qui se rapproche de la limite fixée pour l'application de l'art. 172ter CP (CHF 300.-). La situation personnelle de l'appelante, particulièrement aisée, n'explique et ne justifie nullement ses agissements. Sa collaboration a été globalement mauvaise. Si elle a dans un premier temps admis les faits, elle les a continuellement contestés dès son audition devant le MP et ce, jusqu'en appel, malgré les éléments à charge au dossier. Dans cette mesure, sa prise de conscience n'apparaît pas même amorcée. Comme retenu par le premier juge, il sera tenu compte de ce que l'appelante présentait, au vu du certificat médical produit, une fragilité psychique. L'appelante n'a pas d'antécédents, facteur neutre sur la peine. L'art. 54 CP ne saurait trouver application. À cet égard, l'interpellation et les visites domiciliaires subies par l'appelante ne constituent que des conséquences indirectes, et non directes, de l'infraction commise. En outre, si le témoin G______ a indiqué qu'elle avait été marquée par ces évènements, la documentation médicale produite ne démontre pas l'existence d'un traumatisme y relatif, lequel ferait apparaître une peine comme choquante et heurterait le sentiment de la justice. Enfin, une exemption de peine, face à un crime intentionnel, doit rester exceptionnelle. Le prononcé d'une peine pécuniaire et le bénéfice du sursis sont acquis à l’appelante (art. 391 al. 2 CPP). La quotité de la peine fixée par le premier juge (15 unités pénales, sous déduction d'une unité correspondant à un jour de détention avant jugement [art. 51 CP]), tout comme le montant du jour-amende, établi à CHF 300.-, et le délai d’épreuve fixé à trois ans, apparaissent adéquats ; ils seront donc confirmés et l’appel rejeté.</w:t>
      </w:r>
    </w:p>
    <w:p>
      <w:r>
        <w:rPr>
          <w:b/>
        </w:rPr>
        <w:t>E. 5</w:t>
      </w:r>
    </w:p>
    <w:p>
      <w:r>
        <w:t>Les mesures de restitution ordonnées, non contestées en appel et qui consacrent une correcte application du droit, seront confirmées.</w:t>
      </w:r>
    </w:p>
    <w:p>
      <w:r>
        <w:rPr>
          <w:b/>
        </w:rPr>
        <w:t>E. 6</w:t>
      </w:r>
    </w:p>
    <w:p>
      <w:r>
        <w:t>L'appelante, qui succombe, supportera les frais de la procédure envers l'État, y compris un émolument d'arrêt de CHF 1'500.- (art.  428 al. 1 CPP). Vu l'issue de l'appel, il n'y a pas lieu de revoir la répartition des frais de la procédure préliminaire et de première instance (cf. art. 428 al. 3 CPP), y compris la mise à la charge de l'appelante de l'émolument complémentaire de jugement.</w:t>
      </w:r>
    </w:p>
    <w:p>
      <w:r>
        <w:rPr>
          <w:b/>
        </w:rPr>
        <w:t>E. 7</w:t>
      </w:r>
    </w:p>
    <w:p>
      <w:r>
        <w:t>La partie plaignante ayant obtenu gain de cause, l'appelante sera condamnée à lui verser une indemnité pour ses frais de défense en appel, laquelle sera arrêtée à CHF 3'024.40, une heure étant retranchée à la rédaction du mémoire réponse, 2h45 apparaissant en effet suffisantes pour rédiger un mémoire comprenant quatre pages de droit, la cause n'étant pas complexe (art. 433 al. 1 CP).</w:t>
      </w:r>
    </w:p>
    <w:p>
      <w:r>
        <w:rPr>
          <w:b/>
        </w:rPr>
        <w:t>E. 8</w:t>
      </w:r>
    </w:p>
    <w:p>
      <w:r>
        <w:t>Les conclusions de l'appelante en indemnisation de ses frais de défense et de son tort moral (art. 429 al. 1 let. a et c CPP a contrario) seront rejetées, vu la confirmation du verdict de culpabilité.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