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P/2300/2016 vom 25. September 2017</w:t>
      </w:r>
    </w:p>
    <w:p>
      <w:r>
        <w:t>GE Cour de justice, 2017-09-25, FR</w:t>
      </w:r>
    </w:p>
    <w:p>
      <w:r>
        <w:rPr>
          <w:b/>
        </w:rPr>
        <w:t xml:space="preserve">Quelle: </w:t>
      </w:r>
      <w:r>
        <w:t>https://mcp.opencaselaw.ch/entscheid/ge_gerichte_P_2300_2016</w:t>
      </w:r>
    </w:p>
    <w:p>
      <w:r>
        <w:t>FR: GE_GERICHTE P/2300/2016 du 25 septembre 2017</w:t>
      </w:r>
    </w:p>
    <w:p>
      <w:r>
        <w:t>IT: GE_GERICHTE P/2300/2016 del 25 settembre 2017</w:t>
      </w:r>
    </w:p>
    <w:p>
      <w:pPr>
        <w:pStyle w:val="Heading2"/>
      </w:pPr>
      <w:r>
        <w:t>Regeste</w:t>
      </w:r>
    </w:p>
    <w:p>
      <w:r>
        <w:t>ENLÈVEMENT DE MINEUR(INFRACTION) ; PRESCRIPTION ; PEINE PÉCUNIAIRE | CP.220; CP.97; CP.34</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notamment la quotité de la peine (let. b) et les frais, les indemnités et la réparation du tort moral (let. f). 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et 6B_1249/2014 du 7 septembre 2015 consid. 1.2). 2.2.2. Conformément à l'art. 34 CP, la peine pécuniaire est fixée en jours-amende. La fixation de la peine intervient en deux phases différentes. Le Tribunal détermine d'abord le nombre des jours-amende en fonction de la culpabilité de l'auteur (al. 1). Le nombre de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Le montant du jour-amende ne peut être inférieur à CHF 10.- (ATF 135 IV 180 consid. 1.4.2 p. 185). La fixation de la peine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La peine pécuniaire ne se confond pas avec une simple amende (ATF 134 IV 1 consid. 5 et 6 p. 9 et 15 ; arrêt du Tribunal fédéral 6B_541/2007 du 13 mai 2008 consid. 5 et 6).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(ATF 134 IV 60 consid. 6.1 p.68 ; arrêt du Tribunal fédéral 6B_200/2009 du 27 août 2009 consid. 7.1). Le montant du jour-amende ne peut être inférieur à CHF 10.- (ATF 135 IV 180 consid. 1.4.2 p. 185).</w:t>
      </w:r>
    </w:p>
    <w:p>
      <w:r>
        <w:rPr>
          <w:b/>
        </w:rPr>
        <w:t>E. 2.3</w:t>
      </w:r>
    </w:p>
    <w:p>
      <w:r>
        <w:t>Avec le premier juge, la CPAR retient que l'appelante a porté atteinte au bien juridique protégé par l'art. 220 CP, soit la famille, par convenance personnelle. Elle s'en est prise à l'exercice de l'autorité parentale de son époux, en séparant subitement les enfants de leur père. Elle a prémédité son acte, en accomplissant les démarches préparatoires dans le secret puis en agissant de manière sournoise, lorsque son époux était en voyage, le mettant ainsi devant le fait accompli et le privant de la faculté de décider de l'avenir des enfants, de leur scolarité et de leur lieu de vie. Son comportement est d'autant plus déplorable que des discussions étaient en cours entre les époux au sujet de leur séparation. L'appelante a essayé au cours de la procédure de se prévaloir, sans véritablement les établir, de circonstances extérieures qui l'auraient obligée à agir ainsi, pour le bien des enfants, ce qui montre que sa prise de conscience est relative. A décharge, il sera tenu compte du fait que l'appelante a pris des mesures pour atténuer les conséquences de sa décision sur les enfants, en décidant de s'installer à Genève, où la famille avait déjà vécu, et en scolarisant les enfants dans leur ancienne école. Le couple y possède d'ailleurs une maison, même si elle est louée, et toute la famille y a conservé le domicile légal, pour des raisons de convenance personnelle du plaignant, qui ne voulait pas perdre sa couverture d'assurance. Compte tenu de l'ensemble de ces éléments, la faute de l'appelante apparaît de gravité moyenne, de sorte qu'une peine pécuniaire de 180 jours-amende représente la sanction adéquate et sera prononcée. Quant au montant du jour-amende, il se justifiait de l'arrêter à CHF 100.- comme l'a fait le premier juge. Il paraît en effet adéquat au regard de la situation économique de l'appelante, soit ses revenus mensuels de l'ordre de CHF 8'500.- et ses charges incompressibles, de plus de CHF 6'000.-, entraînant un revenu net quotidien de CHF 78.- ([8'500 - 6'150] / 30), auquel il convient d'ajouter l'aide financière de sa famille puisqu'il s'agit d'une source de revenu comme une autre, laquelle a été correctement estimée à environ CHF 20.- par jour. Le sursis, dont les conditions sont réalisées, et le délai d'épreuve de trois ans, apte à dissuader l'appelante de récidiver, seront confirmés. Partant, l'appel est partiellement admis. Le jugement querellé sera réformé dans le sens qui précède.</w:t>
      </w:r>
    </w:p>
    <w:p>
      <w:r>
        <w:rPr>
          <w:b/>
        </w:rPr>
        <w:t>E. 3.1</w:t>
      </w:r>
    </w:p>
    <w:p>
      <w:r>
        <w:t>A teneur de l'art. 1 al. 2 let. a de la loi fédérale régissant la taxe sur la valeur ajoutée du 12 juin 2009 (LTVA ; RS 641.20), la Confédération perçoit, au titre de la taxe sur la valeur ajoutée, un impôt sur les prestations que les assujettis fournissent à titre onéreux sur le territoire suisse (impôt grevant les opérations réalisées sur le territoire suisse). Selon l'art. 6 al. 1 LTVA, le transfert de l'impôt est régi par des conventions de droit privé. Il convient de préciser que la TVA ne grève de toute manière pas comme charge les prestations du défenseur dont le client est domicilié à l'étranger. En effet, conformément à l'art. 1 al. 2 let. a LTVA cité ci-dessus, l'art. 18 al. 1 LTVA prévoit que les prestations fournies sur le territoire suisse par des assujettis moyennant une contre-prestation sont soumises à l'impôt grevant les opérations réalisées sur le territoire suisse. A contrario, les prestations qui ne sont pas localisées sur le territoire suisse ne sont pas soumises à l'impôt.</w:t>
      </w:r>
    </w:p>
    <w:p>
      <w:r>
        <w:rPr>
          <w:b/>
        </w:rPr>
        <w:t>E. 3.2</w:t>
      </w:r>
    </w:p>
    <w:p>
      <w:r>
        <w:t>En l'espèce, il est vrai que le plaignant est encore inscrit sur les registres de l'Office cantonal de la population, afin de conserver son assurance-maladie. Il n'en demeure pas moins qu'il est retourné vivre au Tchad, son pays d'origine, depuis plusieurs années et qu'il a fait savoir qu'il ne s'agissait pas d'une solution provisoire. C'est donc à tort que la TVA, à hauteur de CHF 834.70, a été prélevée. Le jugement sera réformé sur ce point.</w:t>
      </w:r>
    </w:p>
    <w:p>
      <w:r>
        <w:rPr>
          <w:b/>
        </w:rPr>
        <w:t>E. 4</w:t>
      </w:r>
    </w:p>
    <w:p>
      <w:r>
        <w:t>4 .1. Aux termes de l'art. 433 al. 1 let. a CPP, la partie plaignante peut demander au prévenu une juste indemnité pour les dépenses obligatoires occasionnées par la procédure si elle obtient gain de cause ; tel est le cas lorsque le prévenu est condamné, respectivement lorsque les prétentions civiles sont admises (arrêt du Tribunal fédéral 6B_159/2012 du 22 juin 2012 consid. 2.2).</w:t>
      </w:r>
    </w:p>
    <w:p>
      <w:r>
        <w:rPr>
          <w:b/>
        </w:rPr>
        <w:t>E. 4.2</w:t>
      </w:r>
    </w:p>
    <w:p>
      <w:r>
        <w:t>En l'espèce, l'appel de la défense portait sur la peine, point sur lequel la partie plaignante n'avait pas à s'exprimer. L'intimé a au surplus succombé s'agissant de la question de la TVA, de sorte qu'il n'a pas droit à une indemnité pour ses frais d'avocat pour la procédure d'appel.</w:t>
      </w:r>
    </w:p>
    <w:p>
      <w:r>
        <w:rPr>
          <w:b/>
        </w:rPr>
        <w:t>E. 5</w:t>
      </w:r>
    </w:p>
    <w:p>
      <w:r>
        <w:t>Invitée à présenter et chiffrer ses conclusions éventuelles en indemnisation, l'appelante n'y a pas donné suite, de sorte que la CPAR retient qu'elle y a renoncé (M. NIGGLI / M. HEER / H. WIPRÄCHTIGER (éds), Strafprozessordnung – Jugendstrafprozessordnung, Basler Kommentar StPO/JStPO , 2 e éd., Bâle 2014, n. 31b ad art. 429).</w:t>
      </w:r>
    </w:p>
    <w:p>
      <w:r>
        <w:rPr>
          <w:b/>
        </w:rPr>
        <w:t>E. 6</w:t>
      </w:r>
    </w:p>
    <w:p>
      <w:r>
        <w:t>L'appelante, qui a obtenu partiellement gain de cause, supportera un tiers des frais de la procédure d'appel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