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P/2295/2020 vom 13. Januar 2021</w:t>
      </w:r>
    </w:p>
    <w:p>
      <w:r>
        <w:t>GE Cour de justice, 2021-01-13, FR</w:t>
      </w:r>
    </w:p>
    <w:p>
      <w:r>
        <w:rPr>
          <w:b/>
        </w:rPr>
        <w:t xml:space="preserve">Quelle: </w:t>
      </w:r>
      <w:r>
        <w:t>https://mcp.opencaselaw.ch/entscheid/ge_gerichte_P_2295_2020</w:t>
      </w:r>
    </w:p>
    <w:p>
      <w:r>
        <w:t>FR: GE_GERICHTE P/2295/2020 du 13 janvier 2021</w:t>
      </w:r>
    </w:p>
    <w:p>
      <w:r>
        <w:t>IT: GE_GERICHTE P/2295/2020 del 13 gennaio 2021</w:t>
      </w:r>
    </w:p>
    <w:p>
      <w:pPr>
        <w:pStyle w:val="Heading2"/>
      </w:pPr>
      <w:r>
        <w:t>Regeste</w:t>
      </w:r>
    </w:p>
    <w:p>
      <w:r>
        <w:t>ESCROQUERIE;ASTUCE;COMPÉTENCE RATIONE LOCI | CP.146; CP.3; CPP.310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question de l'existence d'un for à Genève se pose.</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 C. PERRIER DEPEURSINGE (éds), Commentaire romand : Code de procédure pénale suisse , 2e éd. Bâle 2019, n. 9 ad art. 310; R. PFISTER-LIECHTI (éd.), La procédure pénale fédérale, Fondation pour la formation continue des juges suisses , Berne 2010, p. 62).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(A. KUHN / Y. JEANNERET / C. PERRIER DEPEURSINGE (éds), Commentaire romand : Code de procédure pénale suisse , 2 ème éd., Bâle 2019, n. 8 ad art. 310).</w:t>
      </w:r>
    </w:p>
    <w:p>
      <w:r>
        <w:rPr>
          <w:b/>
        </w:rPr>
        <w:t>E. 3.2</w:t>
      </w:r>
    </w:p>
    <w:p>
      <w:r>
        <w:t>L'incompétence des autorités pénales suisses à raison du lieu est constitutive d'un empêchement définitif de procéder au sens de l'art. 310 al. 1 let. b CPP (arrêts du Tribunal fédéral 6B_1355/2018 du 29 février 2019 consid. 4.5.1; 6B_127/2013 du 3 septembre 2013 consid. 4; ACPR/488/2014 du 31 octobre 2014 consid. 2.1; cf. toutefois l'arrêt du Tribunal fédéral 6B_1045/2014 du 19 mai 2015 consid. 4.3, non publié in ATF 141 IV 205 , qui y voit une condition à l'ouverture de l'action pénale).</w:t>
      </w:r>
    </w:p>
    <w:p>
      <w:r>
        <w:rPr>
          <w:b/>
        </w:rPr>
        <w:t>E. 3.3</w:t>
      </w:r>
    </w:p>
    <w:p>
      <w:r>
        <w:t>Aux termes de l'art. 3 al. 1 CP, le Code pénal suisse est applicable à quiconque commet un crime ou un délit en Suisse. En application de l'art. 8 al. 1 CP, un crime ou un délit est réputé commis tant au lieu où l'auteur a agi ou aurait dû agir qu'au lieu où le résultat s'est produit. Le lieu où l'auteur a agi ou aurait dû agir est un lieu où il a réalisé l'un des éléments constitutifs de l'infraction. Il suffit qu'il réalise une partie - voire un seul - des actes constitutifs sur le territoire suisse (ATF 144 IV 265 consid. 2..7. ; 141 IV 205 consid. 5.2).</w:t>
      </w:r>
    </w:p>
    <w:p>
      <w:r>
        <w:rPr>
          <w:b/>
        </w:rPr>
        <w:t>E. 3.4</w:t>
      </w:r>
    </w:p>
    <w:p>
      <w:r>
        <w:t>En matière d'escroquerie (art. 146 CP), le Tribunal fédéral a considéré que cette infraction était un délit matériel à double résultat: le premier est constitué par l'appauvrissement de la victime, le second est l'enrichissement dont seul le dessein - à l'exclusion de la réalisation - est un élément constitutif de l'infraction. Tant le lieu où s'est produit l'appauvrissement que celui où s'est produit, respectivement devait se produire le résultat recherché par l'auteur constituent le lieu du résultat au sens de l'art. 8 CP (ATF 141 IV 336 consid. 1.). L'appauvrissement se produit au lieu où se situent les valeurs patrimoniales dont se dessaisit la dupe, soit, cas échéant, au siège de la banque auprès de laquelle celle-ci possède les avoirs en question (A. DYENS, Territorialité et ubiquité en droit pénal international suisse , Bâle 2014, p. 915 et ss). À côté du lieu d'appauvrissement de la victime ou de celui de l'enrichissement de l'auteur figurent également le lieu de survenance de l'erreur, soit celui où la dupe est amenée à se forger une représentation erronée de la situation de fait (A. DYENS, op.cit ., p. 282), et le lieu où se trouve l'auteur au moment où il réalise la tromperie astucieuse (arrêt du Tribunal fédéral 6B_635/2018 du 24 octobre 2018 consid. 2.1.3).</w:t>
      </w:r>
    </w:p>
    <w:p>
      <w:r>
        <w:rPr>
          <w:b/>
        </w:rPr>
        <w:t>E. 3.5</w:t>
      </w:r>
    </w:p>
    <w:p>
      <w:r>
        <w:t>En l'espèce, le seul lien avec la Suisse est le lieu de signature du contrat de prêt. Il convient de préciser qu'il ne s'agit pas d'un acte notarié, le notaire n'étant intervenu que pour légaliser les signatures des parties. Les éléments constitutifs de l'infraction que sont l'appauvrissement et l'enrichissement n'ont pas été commis en Suisse. Il en découle qu'aucun for n'existe à Genève, ce qui constitue un empêchement de procéder en ce lieu. Le for suisse serait-il admis, que le recours serait néanmoins infondé pour les motifs suivants.</w:t>
      </w:r>
    </w:p>
    <w:p>
      <w:r>
        <w:rPr>
          <w:b/>
        </w:rPr>
        <w:t>E. 4.1</w:t>
      </w:r>
    </w:p>
    <w:p>
      <w:r>
        <w:t>À teneur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avec une obligation qualifiée de renseigner le lésé. Un tel devoir peut découler de la loi, d'un contrat ou d'un rapport de confiance spécial. Un simple devoir légal ou contractuel ne suffit toutefois pas à fonder une position de garant, pas plus qu'un devoir découlant du principe général de la bonne foi. Il faut au contraire que l'auteur se soit trouvé dans une situation qui l'obligeait à ce point à protéger les intérêts du lésé que son omission puisse être assimilée à une tromperie résultant d'un comportement actif. Une configuration de ce type suppose en principe que le devoir de protéger les intérêts du lésé et de le renseigner constitue une obligation principale ou du moins spécifique de l'auteur. Elle se conçoit notamment lorsque ce dernier est censé bénéficier d'une confiance accrue en raison de ses qualités particulières. De même, afin de conforter la victime dans son erreur, troisième comportement prévu par la loi, il ne suffit pas que l'auteur reste purement passif et bénéficie ainsi de l'erreur d'autrui. Il doit, par un comportement actif, c'est-à-dire par ses paroles ou par ses actes, avoir conforté la dupe dans son erreur. Cette hypothèse se distingue des deux précédentes en ce sens que l'erreur est préexistante (ATF 140 IV 206 consid. 6.3.1.2 ; 140 IV 11 consid. 2.3.2 et 2.4.2 ; arrêts du Tribunal fédéral 6B_718/2018 du 15 mars 2019 consid. 4.3.1 ; 6B_817/2018 du 23 octobre 2018 consid. 2.3.1 ; 6B_530/2008 du 8 janvier 2009 consid. 3.2 [devoir du notaire de renseigner sur les aspects formels et matériels importants d'un acte juridique]). Pour qu'il y ait escroquerie, une simple tromperie ne suffit pas. Il faut encore qu'elle soit astucieuse.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135 IV 76 consid. 5.2). Il y a notamment astuce lorsque l'auteur recourt à une mise en scène comportant des documents ou des actes ou à un échafaudage de mensonges qui se recoupent de façon si raffinée que même une victime critique se laisserait tromper. Il y a manoeuvre frauduleuse, par exemple, si l'auteur emploie un document faux ou fait intervenir, à l'appui de sa tromperie, un tiers participant ou manipulé (ATF 135 IV 76 consid. 5.2; ATF 122 IV 197 consid. 3d). Le juge pénal n'a pas à accorder sa protection à celui qui est tombé dans un piège qu'un peu d'attention et de réflexion lui aurait permis d'éviter.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Une coresponsabilité de la dupe n'exclut l'astuce quand dans des cas exceptionnels, à savoir si cette dernière n'a pas procédé aux vérifications élémentaires, exigibles de sa part au vu des circonstances. Pour apprécier si l'auteur a usé d'astuce et si la dupe a omis de prendre des mesures de prudence élémentaires, il ne suffit pas de se demander comment une personne raisonnable et expérimentée aurait réagi à la tromperie. Il faut, au contraire, prendre en considération les circonstances et la situation particulière de la dupe, telle que l'auteur la connaît et l'exploite, par exemple une faiblesse d'esprit, l'inexpérience, le grand âge ou la maladie, mais aussi un état de dépendance, d'infériorité ou de détresse faisant que la dupe n'est guère en mesure de se méfier de l'auteur (ATF 142 IV 153 consid. 2.2.2 ; 135 IV 76 consid. 5.2 ; 128 IV 18 consid. 3a ; 126 IV 165 consid. 2a ; 120 IV 186 consid. 1a ; arrêts du Tribunal fédéral 6B_136/2017 du 17 novembre 2017 consid. 3.4 ; 6B_501/2014 du 27 octobre 2014 consid. 2.1 ; 6B_783/2009 du 12 janvier 2010 consid. 3.1).</w:t>
      </w:r>
    </w:p>
    <w:p>
      <w:r>
        <w:rPr>
          <w:b/>
        </w:rPr>
        <w:t>E. 4.2</w:t>
      </w:r>
    </w:p>
    <w:p>
      <w:r>
        <w:t>En l'espèce, c'est à raison que le Ministère public a retenu que la condition de l'astuce constitutive de l'infraction d'escroquerie n'était pas réunie. Les circonstances de la relation litigieuse auraient dû attirer l'attention du recourant, administrateur d'une société, lequel n'est pas novice en affaires. En effet, être contacté par internet, parce que faisant partie d'une prétendue liste de " undisclosed-recipients ", par une société qui promet de mettre fin à des excès bureaucratiques, doit éveiller les soupçons et entraîner des contrôles élémentaires sur l'existence de la société, l'identité et les coordonnées précises du contact, les liens juridiques entre ce contact et la société, ainsi que sur les raisons d'octroi d'un prêt de plus de EUR 9 millions, à une personne, ou sa société, qui annonce être dans une situation économique telle que ses biens immobiliers risquaient d'être saisis. Si les banques n'étaient pas disposées à lui prêter de l'argent, il devait se demander la réalité d'une offre " non bureaucratique " avec des taux d'intérêts bas et une exonération de versement la première année. Les adresses email ([aux noms de domaine ] ______, ______), ainsi que les changements réguliers d'adresse et d'interlocuteurs, auraient également dû éveiller l'attention du recourant en ce qu'il s'agit d'adresses peu sécurisées et d'aspect non-professionnel. La tenue d'une réunion à E______ (Espagne), alors que rien ne semble relier ni les participants ni l'opération à cette ville ou à l'Espagne, aurait dû le pousser à poser des questions. Le versement d'un pourcentage du montant promis avant l'octroi du prêt ne se justifiait d'aucune manière et devait faire l'objet d'un document écrit; or, à bien comprendre le recourant, les négociations s'étaient déroulées par téléphone. La signature du contrat à Genève, sous le couvert d'un notaire qui n'avait pour devoir que d'authentifier des signatures, est suffisamment étrange pour interroger la raison d'être en ce lieu. La pression pour obtenir des documents ou le versement d'argent sont également des indices défavorables de la réalité de l'opération. Ces considérations suffisent à confirmer le bien-fondé de l'ordonnance entreprise.</w:t>
      </w:r>
    </w:p>
    <w:p>
      <w:r>
        <w:rPr>
          <w:b/>
        </w:rPr>
        <w:t>E. 5</w:t>
      </w:r>
    </w:p>
    <w:p>
      <w:r>
        <w:t>Le recourant, qui succombe, supportera les frais de la procédure envers l'État (art. 428 al. 1 CPP), fixés en totalité à CHF 900.-, y compris l'émolument de décision.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