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P/22891/2020 vom 13. Juni 2024</w:t>
      </w:r>
    </w:p>
    <w:p>
      <w:r>
        <w:t>GE Cour de justice, 2024-06-13, FR</w:t>
      </w:r>
    </w:p>
    <w:p>
      <w:r>
        <w:rPr>
          <w:b/>
        </w:rPr>
        <w:t xml:space="preserve">Quelle: </w:t>
      </w:r>
      <w:r>
        <w:t>https://mcp.opencaselaw.ch/entscheid/ge_gerichte_P_22891_2020</w:t>
      </w:r>
    </w:p>
    <w:p>
      <w:r>
        <w:t>FR: GE_GERICHTE P/22891/2020 du 13 juin 2024</w:t>
      </w:r>
    </w:p>
    <w:p>
      <w:r>
        <w:t>IT: GE_GERICHTE P/22891/2020 del 13 giugno 2024</w:t>
      </w:r>
    </w:p>
    <w:p>
      <w:pPr>
        <w:pStyle w:val="Heading2"/>
      </w:pPr>
      <w:r>
        <w:t>Regeste</w:t>
      </w:r>
    </w:p>
    <w:p>
      <w:r>
        <w:t>EXCÈS DE VITESSE;DÉFENSE OBLIGATOIRE;VIOLATION DES RÈGLES DE LA CIRCULATION | LCR.90.al3; LCR.90.al3ter; CPP.130; CPP.131.al3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L'appelant soutient à titre préalable que les procès-verbaux de ses deux auditions à la police française effectuées hors la présence de son avocat sont inexploitables, s'agissant d'un cas de défense obligatoire. 2.1.1. À teneur de l'art. 130 CPP, le prévenu doit notamment avoir un défenseur lorsqu'il encourt une peine privative de liberté de plus d'un an, une mesure entraînant une privation de liberté ou une expulsion (défense obligatoire ; art. 130 al. 1 let. b CPP). Si les conditions requises pour la défense obligatoire sont remplies lors de l'ouverture de la procédure préliminaire, la défense doit être mise en œuvre après la première audition par le MP et, en tout état de cause, avant l'ouverture de l'instruction (art. 131 al. 2 CPP). La contradiction de ce libellé trouve son origine dans la possibilité que consacrait le projet de CPP d'une "première audition informelle" menée avant l'ouverture de l'instruction, possibilité supprimée ensuite par le législateur, qui a cependant oublié de corriger l'art. 131 al. 2 CPP (cf. Y. JEANNERET/ A. KUHN/ C. PERRIER DEPEURSINGE (éds), Commentaire romand : Code de procédure pénale suisse, 2 ème éd., Bâle 2019, n. 6 ad art. 131). En toute hypothèse, si les conditions en sont réalisées, la défense obligatoire doit être mise en œuvre avant l'ouverture de l'instruction. Selon l'art. 309 al. 1 CPP, le Ministère public ouvre une instruction lorsqu'il est en présence de soupçons suffisants laissant présumer qu'une infraction a été commise (let. a), qu'il veut ordonner des mesures de contrainte (let. b) ou qu'il est informé par la police d'une infraction grave ou de tout autre événement sérieux (let. c en lien avec l'art. 307 al. 1 CPP). Quand bien même l'art. 309 al. 3 CPP prévoit que le MP ouvre l’instruction par une ordonnance dans laquelle il désigne le prévenu et l’infraction qui lui est imputée, celle-ci n'a qu'une portée déclaratoire et l'ouverture de l'instruction au sens de l'art. 131 al. 2 CPP s'entend au sens matériel, soit dès que les conditions de l'art. 309 al. 1 CPP sont réalisées (ATF 141 IV 20 consid. 1.1.4 p. 24 ; arrêt du Tribunal fédéral 6B_178/2017 du 25 octobre 2017 consid. 2.5). En revanche, même si la question est controversée en doctrine – une partie de celle-ci, suivie en cela par la jurisprudence vaudoise, étant d'avis que dans un cas de défense obligatoire reconnaissable, ce droit doit être garanti également au stade de l'audition par la police (cf. Y. JEANNERET / A. KUHN / C. PERRIER DEPEURSINGE (éds), op. cit., n. 7b ad art. 131) –, le Tribunal fédéral a confirmé à plusieurs reprises que la défense obligatoire ne s'appliquait pas au stade des auditions par la police (cf. arrêts du Tribunal fédéral 6B_338/2020 du 3 février 2021 consid. 2.3.4, 6B_998/2019 du 20 novembre 2020 consid. 2.2 et 6B_990/2017 du 18 avril 2018 consid. 2.3.3). 2.1.2. Conformément à l'art. 131 al. 3 CPP, les preuves administrées avant qu'un défenseur d'office ait été désigné, alors même que la nécessité d'une défense aurait dû être reconnue, ne sont exploitables qu'à la condition que le prévenu renonce à en répéter l'administration. Ainsi, si le prévenu choisit d'exercer son droit de voir l'acte d'instruction administré une nouvelle fois en présence de son défenseur, seule cette seconde administration de preuves sera prise en compte et exploitable durant la suite de la procédure (Y. JEANNERET/ A. KUHN/ C. PERRIER DEPEURSINGE (éds), op.cit., n. 18 ad art. 131). 2.1.3. L’art. 5 al. 3 de la Constitution fédérale (Cst.) impose aux parties au procès pénal de se comporter conformément aux règles de la bonne foi (ATF 138 I 97 consid. 4.1.5 p. 101 ; arrêt du Tribunal fédéral 1C_461/2010 du 31 janvier 2011 consid. 3.2). Ainsi, la partie qui s’aperçoit qu’une règle de procédure a été violée à son détriment ne saurait laisser la procédure suivre son cours sans réagir, les manœuvres dilatoires n’étant pas admissibles. La partie qui renonce sciemment à faire valoir la violation d’une règle de procédure devant un juge qui serait en mesure d’en réparer les conséquences est en principe déchue du droit de se prévaloir de cette violation dans la suite de la procédure (ATF 138 I 97 consid. 4.1.5 p. 101 ; ATF 135 III 334 consid. 2.2 p. 336 ; arrêt du Tribunal fédéral 6B_672/2012 du 19 mars 2013 consid. 4). 2.2.1. En ce qui concerne la première audition du 12 septembre 2020 à la police française, sur délégation de la police genevoise, il n'y a pas lieu de s'écarter de la jurisprudence claire du Tribunal fédéral, selon laquelle une défense obligatoire n'a pas à être mise en œuvre au stade des auditions par la police. Au demeurant, l'appelant a été dûment informé de ses droits lors de son audition par la police. Il a renoncé à la présence d'un avocat, alors qu'il était en mesure de comprendre tant l'énoncé de ses droits que la portée du renoncement à la présence d'un avocat. Partant, l'absence d'un avocat lors de son audition à la police le 12 septembre 2020 ne justifie pas que les déclarations ainsi recueillies soient déclarées inexploitables. Le grief de l'appelant sera donc rejeté sur ce point. 2.2.2. Autre est la question de la seconde audition de l'appelant sur délégation du MP, le 5 avril 2022, devant la police française. Il ressort en effet du texte de loi que lorsque les conditions d'une défense obligatoire sont remplies, celle-ci doit être mise en œuvre avant l'ouverture de l'instruction, laquelle s'entend au sens matériel. Le fait que le MP ait rendu une ordonnance formelle d'ouverture d'instruction postérieurement à l'audition du 5 avril 2022 ne permet donc pas pour autant d'en conclure que l'art. 131 al. 2 CPP a été respecté. Or, concrètement, le MP se trouvait en présence d'un suspect mis en prévention pour une infraction grave et reconnaissable, dans la mesure où la gravité pouvait se mesurer à l'aune de la peine encourue, soit une peine privative de liberté de plus d'un an s'agissant d'un excès de vitesse de 82 km/h, là où la limite était fixée à 60 km/h (cf. art. 90 al. 3 et 4 LCR). Dans ces conditions particulières, il faut considérer que l'appelant se trouvait dans une situation de défense obligatoire. Cela étant, il ressort qu'à la suite de l'ouverture formelle de l'instruction, la première audition de l'appelant devant le MP, au cours de laquelle il lui a été d'emblée indiqué qu'il se trouvait dans un cas de défense obligatoire, s'est déroulée en présence de son avocat. L'appelant a alors confirmé ses précédentes déclarations et ne s’est pas opposé à celles-ci. Il n'a pas non plus invoqué l’existence d’un quelconque vice de forme ou de fond ni davantage contesté le fait de maintenir au dossier les procès-verbaux de ses auditions à la police. De surcroît, conformément aux règles de la bonne foi, si l’appelant estimait que les conditions de la défense obligatoire étaient réalisées, l’on pouvait attendre de sa part qu’il soulève immédiatement l'illicéité de l’administration des preuves qu’il estimait viciées, ce qu’il n’a pas fait, même pourvu d'un avocat, ni à la clôture de l'instruction devant le MP ni en première instance. Ce n’est que tardivement, après avoir été condamné, qu’il fait valoir cet incident en appel, requérant pour la première fois l'inexploitabilité des procès-verbaux de ses auditions par la police française. Dans ces conditions, l'appelant sera déchu du droit de s'en prévaloir devant la Chambre de céans. Le grief soulevé par l’appelant en relation avec la seconde audition du 5 avril 2022 sera donc également rejeté.</w:t>
      </w:r>
    </w:p>
    <w:p>
      <w:r>
        <w:rPr>
          <w:b/>
        </w:rPr>
        <w:t>E. 3</w:t>
      </w:r>
    </w:p>
    <w:p>
      <w:r>
        <w:t>3.1.1. Le principe in dubio pro reo, qui découle de la présomption d'innocence, garantie par l'art. 6 ch. 2 de la Convention de sauvegarde des droits de l'homme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3.1.2. L'art. 90 al. 3 LCR réprime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Selon l'art. 90 al. 4 let. c LCR, là où la limite est fixée au plus à 80 km/h, l'excès de vitesse est particulièrement important lorsque la vitesse maximale autorisée a été dépassée d'au moins 60 km/h. Lorsque l'excès de vitesse atteint l'un des seuils fixés par l'art. 90 al. 4 LCR, la première condition objective de l'art. 90 al. 3 LCR, à savoir la violation d'une règle fondamentale de la circulation routière, est toujours remplie. Un tel excès de vitesse qualifié suffit déjà en principe à réaliser également la seconde condition objective, à savoir la création d'un danger abstrait qualifié, dès lors que l'atteinte de l'un des seuils visés à l'art. 90 al. 4 LCR implique généralement l'impossibilité d'éviter un grand risque d'accident en cas d'obstacle ou de perte de maîtrise du véhicule. Cette disposition crée cependant une présomption réfragable de la réalisation de la condition objective du danger qualifié au sens de l'art. 90 al. 3 LCR (ATF 143 IV 508 consid. 1.6). Le juge peut en effet arriver à la conclusion que même si l’auteur a franchi les seuils de l’alinéa 4, il n’a pas créé un grand risque d’accident au sens de l’alinéa 3 (arrêt du Tribunal fédéral 6B_592/2018 du 13 août 2018 consid. 2.2), en tenant compte des circonstances exceptionnelles du cas d’espèce, telles que : une limitation de vitesse liée à un chantier qui a été simplement oubliée sur la route (Y. JEANNERET, "Via sicura : le nouvel arsenal pénal", Circulation routière 2/2013, p. 36) ; un dysfonctionnement des panneaux variables de limitation de vitesse sur l’autoroute (arrêt du Tribunal fédéral 6A_11/2000 du 7 septembre 2000 consid. 3b), ou encore une limitation de vitesse due non à des conditions dangereuses de la route, mais en lien seulement pour des motifs écologiques (arrêt du Tribunal fédéral 6B_148/2012 du 30 avril 2012 consid. 3.1). Sur le plan subjectif, l'intention doit porter sur la violation des règles fondamentales de la circulation routière ainsi que sur le risque d'accident pouvant entraîner de graves blessures ou la mort. Celui qui commet un excès de vitesse appréhendé par l'art. 90 al. 4 LCR réalise en principe les conditions subjectives de l'infraction. Celles-ci ne peuvent être exclues que dans des constellations particulières, comme une défaillance technique du véhicule (dysfonctionnement des freins ou du régulateur de vitesse), une pression extérieure (menaces, prise d'otage), des problèmes médicaux soudains (par exemple une crise d'épilepsie) ou encore le caractère improbable de la limitation de vitesse (ATF 142 IV 137 consid. 3.3, 10.1 et 11.2). 3.1.3. Le conducteur d'un véhicule automobile ne saurait se voir condamner à une infraction de la loi fédérale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(arrêt du Tribunal fédéral 6B_316/2014 du 23 juillet 2004 consid. 2.2).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 en matière de retrait du permis de conduire ; arrêt 6B_562/2010 du 28 octobre 2010 consid. 2.1.2).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(arrêt 6B_562/2010 du 28 octobre 2010 consid. 2.1.2). Lorsque l'accusé fait des déclarations contradictoires, il ne peut invoquer la présomption d'innocence pour contester les conclusions défavorables que le juge a, le cas échéant, tirées de ses déclarations (arrêts du Tribunal fédéral 1P.428/2003 du 8 avril 2004 consid. 4.6, 6B_316/2014 du 23 juillet 2004 consid. 2.2). En cas de commission d'une infraction routière et de doute sur l'identité de l'auteur, sont particulièrement pertinents les éléments suivants : le lieu de commission de l'infraction est proche du lieu de résidence ou de travail ; le détenteur est vu à proximité du lieu de commission de l'infraction; le détenteur utilise son véhicule à titre professionnel ; le détenteur n'a pas d'alibi pour le moment où l'infraction a été commise et il n'arrive pas à montrer que d'autres personnes disposaient des clefs du véhicule (DÄHLER/ SCHAFFHAUSER, Strassenverkehrsdelikte, in GEISER/ MÜNCH [éds], Strafverteidigung, 2002, 457-636, par. 11.70). 3.2.1. En l'espèce, il est établi et non contesté que le conducteur du véhicule de marque C______ immatriculé 2______ a circulé à une vitesse de 142 km/h, marge de sécurité déduite, à la hauteur du n° 1______ sur le quai de Cologny, dans une zone de limite générale de 60 km/h. Les conditions objectives de l’art. 90 al. 3 et 4 LCR sont ainsi clairement réalisées, la vitesse mesurée dépassant la limite fixée à l’art. 90 al. 4 let. c LCR. Il est également constant que la présomption de la réalisation de l’élément objectif du danger qualifié de l’infraction réprimée par l’art. 90 al. 3 LCR n'est pas renversée. À la vitesse à laquelle il circulait, le conducteur a en effet pris le risque de ne pas pouvoir réagir suffisamment tôt à la survenance du danger en cas de perte de maîtrise du véhicule ou d'obstacle sur la chaussée, dont la présence est toujours possible, qu'il soit d'origine humaine ou naturelle. La limitation de vitesse à cet endroit-là du quai de Cologny a par ailleurs vocation à assurer la sécurité routière, alors que la route en question, bien que rectiligne, comporte plusieurs feux, des passages piétons et une piste cyclable, et qu'il s'agit d'un axe routier important du canton qui est susceptible d'être fréquenté également la nuit. 3.2.2. L'appelant conteste en avoir été le conducteur, arguant que les éléments au dossier sont insuffisants pour retenir sa culpabilité. Il ressort tout d'abord que celui-ci a toujours maintenu qu'il était bien le propriétaire et l'unique détenteur de la voiture. De manière constante, il a également précisé qu'il ne confiait jamais sa voiture à des tiers. Il a finalement confirmé, confronté à la photographie prise par le radar, qu'il pouvait effectivement s'agir de sa voiture. Plus généralement, l'appelant a livré, au gré de ses auditions, des explications évolutives et ambivalentes sur des points essentiels. Ainsi, lors de sa première audition devant la police, il s'est contenté d'admettre, alors qu'il contestait être le conducteur, n'avoir aucune explication à donner pour justifier le fait que sa voiture avait été prise en excès de vitesse. Comme seule justification, il a expliqué de manière mensongère qu'il ne s'était pas rendu à Genève avant le 20 février 2020, dès lors que cela est contredit par sa condamnation pénale pour infraction à la LCR le 13 février 2020. Sa version a ensuite évolué deux ans plus tard lors de sa deuxième audition à la police : à le suivre, le soir des faits, il travaillait sur un chantier dans une villa située à E______ en France. Il n'apporte toutefois aucune explication sur les raisons qui expliquent que sa voiture a été utilisée le soir-même sur les lieux de l'infraction. Enfin, plus de deux ans et demi après les faits, lors de son audition devant le MP en présence de son conseil, il a ajouté pour la première fois qu'il était probable, même si cela n'était jamais arrivé auparavant, que son colocataire de l'époque, voire une des connaissances de celui-ci, ait subtilisé ses clés pour utiliser son véhicule. L'appelant a également livré des explications à la fois vagues et dépourvues de tout élément de preuve tant sur le lieu où il se trouvait que sur l'utilisation de son véhicule par un tiers. Il n'apporte en effet aucune argumentation vérifiable susceptible de démontrer la version selon laquelle il travaillait sur un chantier au moment de l'infraction, en dehors de ses seules déclarations. Il s'est rangé derrière le fait que le chantier n'était pas déclaré et qu'il effectuait des heures supplémentaires à la demande de son employeur pour justifier l'heure aussi tardive de sa présence alléguée sur le chantier, avec pour seule précision qu'il se trouvait à E______ en France. Comme le relève à juste titre le TP, cette version n'est toutefois pas compatible avec la procédure judiciaire l'ayant opposé à son ancien employeur, dont le jugement versé au dossier n'évoque ni l'existence de chantiers non-déclarés ni de travail de nuit. Il peut et doit en outre être observé, nonobstant le fait qu'il ne lui appartient certes pas de prouver son innocence, que l'appelant s'est contenté d'évoquer ce chantier seulement au stade de sa deuxième audition à la police, plus de deux ans après les faits, et non pas spontanément lors de son premier interrogatoire, étant relevé que son ex-employeur n'a, au demeurant, pas été entendu ni n'a attesté que l'appelant se trouvait bien sur le chantier en question. Il en va de même de la thèse selon laquelle son ex-colocataire, le dénommé " F______ ", ou l'une de ses connaissances, aurait utilisé son véhicule C______ à son insu. Ce n'est que devant le MP, lors de sa troisième audition, puis en première instance qu'il a soutenu cette version des faits, sans conviction néanmoins tant il est resté vague et ambigu dans ses explications : il ignorait ainsi le nom de famille de " F______ " et n'avait aucune information complémentaire à donner sur celui-ci, malgré le fait qu'il avait vécu plusieurs mois avec ce dernier ; il admettait que " F______ " n'avait jamais pris sa voiture auparavant, celui-ci ne sachant pas conduire ; il n'avait pas observé que son véhicule avait été déplacé le soir des faits ; il avait reçu l'indication de " F______ " que personne n'avait touché à sa voiture ; il avait enfin perdu le double de ses clés de voiture, puis l'avait retrouvé. Par ailleurs, comme le soutient à juste titre le premier juge, la posture de l'appelant, pour le moins passive étant relevé qu'il n'a rien entrepris pour identifier " F______ ", hormis le fait d'avoir tenté en vain de l'appeler, ne manque pas de surprendre au vu des enjeux en terme de peine auxquels il faisait face. Quoiqu'il en soit, au vu de la globalité de son récit, ces éléments renforcent la conviction selon laquelle l'appelant, dans ses déclarations, ne dit pas la vérité. Il convient enfin de relever qu'il existe des critères d'appréciation extrinsèques qui mettent à mal la crédibilité de l'appelant. Celui-ci a en effet été interpellé au volant d'un véhicule, seulement quelques jours après l'excès de vitesse reproché, pour avoir circulé en pleine nuit en direction du quai Wilson, ce qui témoigne du fait qu'il circulait autour de la rade de Genève et à des heures tardives à l'époque des faits. Du reste, il a été condamné à diverses reprises en matière de circulation routière, tant en Suisse qu'en France, notamment pour conduite en état d'ébriété et sans être titulaire d'un permis de conduire, en plus de ses nombreuses autres condamnations pénales, lesquelles renseignent sur sa propension à commettre des infractions au Code de la route. Enfin, le véhicule prenait effectivement la direction de la France et, plus particulièrement, du domicile de l'appelant. Le fait qu'il vivait à D______, soit à 17 kilomètres du lieu où le dépassement de vitesse a été constaté, n'est par ailleurs en rien susceptible de remettre en cause cette appréciation, alors que l'axe routier en question est communément emprunté pour rejoindre D______ depuis Genève. Au vu de ce qui précède, la présomption selon laquelle le détenteur du véhicule en était aussi le conducteur au moment des faits n'est ici pas renversée. L'appelant échoue en effet à apporter des éléments de preuve accréditant sa thèse qui repose sur ses seules déclarations, alors que ses explications manquent de crédibilité et souffrent de nombreuses invraisemblances. Autrement dit, la CPAR a acquis la conviction, au-delà de tout doute sérieux et irréductible, que l'appelant était bien le conducteur du véhicule dans les circonstances de fait résumées dans l'acte d'accusation, ses dénégations n'apparaissant que de pure circonstance. 3.2.3. L'appelant a agi avec conscience et volonté, ce que la loi présume. Aucun élément ne permet de douter qu'il a librement choisi de rouler à une vitesse aussi élevée, tandis que la limitation en cause, usuelle sur ce type de tronçon où elle a toujours été en vigueur, n'a pas pu le surprendre. L'appel sera dès lors rejeté et la culpabilité de l'appelant pour violation des règles fondamentales de la circulation confirmée.</w:t>
      </w:r>
    </w:p>
    <w:p>
      <w:r>
        <w:rPr>
          <w:b/>
        </w:rPr>
        <w:t>E. 4</w:t>
      </w:r>
    </w:p>
    <w:p>
      <w:r>
        <w:t>L’infraction de violation grave des règles de la circulation routière est passible d’une peine privative de liberté d’un à quatre ans (art. 90 al. 3 et 4 LCR). L'art. 90 al. 3 ter LCR, entré en vigueur le 1 er octobre 2023, permet au juge de punir un tel auteur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4.1.1. Les faits reprochés au prévenu se sont déroulés avant le 1 er octobre 2023, date d'entrée en vigueur du nouveau droit de la circulation. L'art. 2 CP délimite le champ d'application de la loi pénale dans le temps. L'alinéa 1 pose le principe de la non-rétroactivité, en disposant que la loi ne s'applique qu'aux infractions commises après son entrée en vigueur. L'alinéa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L'art. 333 al. 1 CP indique que les dispositions générales du présent code sont applicables aux infractions prévues par d'autres lois fédérales, à moins que celles-ci ne contiennent des dispositions sur la matière.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4.2.2.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4.2.3.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4.2.4. Si le juge suspend totalement ou partiellement l'exécution d'une peine, il impartit au condamné un délai d'épreuve de deux à cinq ans (art. 44 al. 1 CP).</w:t>
      </w:r>
    </w:p>
    <w:p>
      <w:r>
        <w:rPr>
          <w:b/>
        </w:rPr>
        <w:t>E. 4.3</w:t>
      </w:r>
    </w:p>
    <w:p>
      <w:r>
        <w:t>En l'occurrence, la faute de l'appelant est très importante dans la mesure où il a violé les règles fondamentales de la circulation routière en circulant à la vitesse de 142 km/h dans une zone limitée à 60 km/h, sans aucun égard pour la sécurité publique et le danger que représentait un tel comportement pour les autres usagers de la route. Agissant par convenance personnelle, dans le but de se déplacer plus rapidement, son mobile est purement égoïste et relève d’un mépris manifeste des règles de la circulation. Sa situation personnelle, sans particularité, n'explique pas ses agissements. Sa collaboration a été partielle et globalement mauvaise. S'il a certes admis que le véhicule lui appartenait et qu'il ne le prêtait pas à des tiers, il a évolué dans ses déclarations, tout en niant toute responsabilité dans les actes reprochés et en rejetant la faute sur des tiers, sans apporter aucun élément de preuve confondant. Dans ces circonstances, sa prise de conscience est nulle. Ses antécédents, pour certains anciens, sont nombreux et d'une certaine gravité (vols en réunion, rébellions, tentative de vol à l'aide d'une effraction, etc.). Les peines privatives de liberté prononcées à son encontre, dont un mois de peine ferme, n'ont pas eu l'effet escompté. Ses agissements démontrent un certain ancrage dans la délinquance, étant souligné qu'il a des antécédents en lien avec des infractions aux règles sur la circulation routière (conduites de véhicules automobiles sans le permis de conduire, tant en Suisse à une reprise en 2020 qu'en France à deux reprises en 2006 et 2016, en sus d'une conduite en état d'ébriété avec un taux d'alcool qualifié dans le sang et dans l'haleine en 2020). Au vu de ses diverses condamnations durant ces dix dernières années, notamment routières, l'application du cas privilégié prévu à l'art. 90 al. 3 ter LCR est exclue et c'est à juste titre que le premier juge a considéré que seule une peine privative de liberté pouvait entrer en considération pour sanctionner adéquatement la faute de l'appelant, ce que ce dernier ne conteste d'ailleurs pas au-delà de son acquittement. La quotité de la peine, arrêtée à un an, soit la peine plancher, et l'octroi du sursis lui sont acquis (art. 391 al. 2 CPP). La fixation du délai d'épreuve à quatre ans, eu égard au risque de récidive résiduelle résultant de l'absence de prise de conscience et aux antécédents spécifiques de l'appelant, est quant à elle conforme au droit. Partant, le jugement entrepris sera intégralement confirmé.</w:t>
      </w:r>
    </w:p>
    <w:p>
      <w:r>
        <w:rPr>
          <w:b/>
        </w:rPr>
        <w:t>E. 5</w:t>
      </w:r>
    </w:p>
    <w:p>
      <w:r>
        <w:t>L'appelant, qui succombe, supportera les frais de la procédure d'appel envers l'Etat (art. 428 CPP), comprenant un émolument de CHF 1'200.-. La répartition des frais de procédure en première instance n'a, quant à elle, pas à être revue (art. 428 al. 3 CPP), dès lors que la culpabilité de l'appelant est confirmée (art. 426 al. 1 CPP).</w:t>
      </w:r>
    </w:p>
    <w:p>
      <w:r>
        <w:rPr>
          <w:b/>
        </w:rPr>
        <w:t>E. 6</w:t>
      </w:r>
    </w:p>
    <w:p>
      <w:r>
        <w:t>6.1.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de CHF 110.- pour un avocat stagiaire (let. a). Conformément à l'art. 16 al. 2 RAJ,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de même que d'autres documents ne nécessitant pas ou peu de motivation ou autre investissement particulier en termes de travail juridique, telle la déclaration d'appel (ordonnance de la Cour des plaintes du Tribunal pénal fédéral BB.2014.51 du 21 novembre 2014 consid. 2.1).</w:t>
      </w:r>
    </w:p>
    <w:p>
      <w:r>
        <w:rPr>
          <w:b/>
        </w:rPr>
        <w:t>E. 6.2</w:t>
      </w:r>
    </w:p>
    <w:p>
      <w:r>
        <w:t>Considéré globalement, l'état de frais satisfait les exigences légales et jurisprudentielles, hormis le temps consacré à la lecture du jugement du TP, lequel tient sur 16 pages, qui sera écarté car couvert par le forfait pour activités diverses. En conclusion, l'indemnité due à M e B______ sera arrêtée à CHF 1'141.50, correspondant à 8h00 d'activité d'avocat-stagiaire à CHF 110.-/heure (CHF 880.-), plus la majoration forfaitaire de 20% (CHF 176.-) et la TVA à 8.1% (CHF 85.50).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