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P/2288/2019 vom 18. April 2019</w:t>
      </w:r>
    </w:p>
    <w:p>
      <w:r>
        <w:t>GE Cour de justice, 2019-04-18, FR</w:t>
      </w:r>
    </w:p>
    <w:p>
      <w:r>
        <w:rPr>
          <w:b/>
        </w:rPr>
        <w:t xml:space="preserve">Quelle: </w:t>
      </w:r>
      <w:r>
        <w:t>https://mcp.opencaselaw.ch/entscheid/ge_gerichte_P_2288_2019</w:t>
      </w:r>
    </w:p>
    <w:p>
      <w:r>
        <w:t>FR: GE_GERICHTE P/2288/2019 du 18 avril 2019</w:t>
      </w:r>
    </w:p>
    <w:p>
      <w:r>
        <w:t>IT: GE_GERICHTE P/2288/2019 del 18 aprile 2019</w:t>
      </w:r>
    </w:p>
    <w:p>
      <w:pPr>
        <w:pStyle w:val="Heading2"/>
      </w:pPr>
      <w:r>
        <w:t>Regeste</w:t>
      </w:r>
    </w:p>
    <w:p>
      <w:r>
        <w:t>AVOCAT D'OFFICE ; PLAIGNANT | CPP.136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gratuite en faveur de la partie plaignante est limitée à un but précis : lui permettre de faire valoir ses prétentions civiles. Ainsi, en faisant expressément référence aux prétentions civiles, l'art. 136 CPP "souligne clairement qu'un conseil juridique gratuit ne peut être désigné à la partie plaignante que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p. 1160). En outre, 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Bâle 2011 , n. 59 à 63 ad art. 136 CPP). 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Ce principe n'est toutefois pas absolu. Dans un arrêt 1B_702/2011 du 31 mai 2012, dans lequel une partie plaignante invoquait une violation du principe de l'égalité des armes, le Tribunal fédéral a retenu (consid. 3.2) que ce principe ne saurait vider de sa substance la disposition de droit fédéral qui expose précisément les conditions auxquelles la partie plaignante peut se voir octroyer un conseil juridique gratuit (art. 136 CPP). Si ces conditions ne sont pas remplies, la partie en question ne peut pas prétendre à un conseil gratuit au seul motif que le prévenu est assisté d'un avocat. En adoptant l'art. 136 CPP,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(cf. Message du 21 décembre 2005 relatif à l'unification du droit de la procédure pénale, FF 2006 1160).</w:t>
      </w:r>
    </w:p>
    <w:p>
      <w:r>
        <w:rPr>
          <w:b/>
        </w:rPr>
        <w:t>E. 2.2</w:t>
      </w:r>
    </w:p>
    <w:p>
      <w:r>
        <w:t>En l'espèce, le Ministère public a admis que la plaignante était indigente et que ses conclusions civiles n'étaient pas vouées à l'échec, raison pour laquelle il l'a mise au bénéfice de l'assistance judiciaire. Il a par contre considéré que les conditions de désignation d'un conseil juridique gratuit n'étaient pas réalisées, faute de complexité de la cause. Cette analyse est exempte de critique. Si les faits reprochés au prévenu n'apparaissent effectivement pas bénins, ils ne revêtent aucune complexité, quand bien même la recourante affirme en avoir souffert psychologiquement. La recourante s'est présentée seule à la police pour les exposer et fournir des pièces justificatives, malgré l'emprise de son époux dont elle dit faire l'objet. La qualification juridique des faits n'apparaît pas complexe non plus et l'instruction de la cause, simple. En effet, après avoir confronté les parties, le Ministère public a rendu un avis de prochaine clôture, annonçant qu'il rendrait prochainement une ordonnance de classement partiel pour certains faits et une ordonnance pénale pour d'autres. Que certains faits aient été commis en France ne signifie pas que la cause présenterait des difficultés juridiques, étant relevé que l'époux de la recourante a également été mis en prévention pour ceux-ci, de sorte qu'il n'y a pas à débattre d'un problème de for. Le fait que la cause puisse aboutir devant le Tribunal de police ensuite d'une éventuelle opposition formée par le prévenu à l'ordonnance pénale qui sera rendue ne rend pas davantage la cause plus complexe, la recourante, qui a su expliciter les faits tant devant la police que le Ministère public, étant en mesure de faire de même devant le juge du fond. Enfin, le fait que le prévenu soit assisté d'un avocat, de choix, n'est pas, à lui seul, de nature à démontrer une violation, par l'ordonnance querellée, du principe de l'égalité des armes. Encore faut-il que la recourante établisse que, sans défense d'office, elle se trouverait en situation de net désavantage par rapport à son époux, ce qui n'est pas le cas, étant précisé que c'est elle qui l'accuse de violences conjugales, menaces et injures. À cet égard, on ne voit pas en quoi avoir été questionnée par le conseil du prévenu à l'audience du 2 avril 2019 aurait créé un déséquilibre entre les parties, la recourante ayant démontré être en mesure de s'exprimer sur les faits sans l'aide d'un conseil.</w:t>
      </w:r>
    </w:p>
    <w:p>
      <w:r>
        <w:rPr>
          <w:b/>
        </w:rPr>
        <w:t>E. 3</w:t>
      </w:r>
    </w:p>
    <w:p>
      <w:r>
        <w:t>Justifiée, l'ordonnance querellée sera donc confirmée.</w:t>
      </w:r>
    </w:p>
    <w:p>
      <w:r>
        <w:rPr>
          <w:b/>
        </w:rPr>
        <w:t>E. 4</w:t>
      </w:r>
    </w:p>
    <w:p>
      <w:r>
        <w:t>Les frais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