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P/22874/2019 vom 29. Juni 2021</w:t>
      </w:r>
    </w:p>
    <w:p>
      <w:r>
        <w:t>GE Cour de justice, 2021-06-29, FR</w:t>
      </w:r>
    </w:p>
    <w:p>
      <w:r>
        <w:rPr>
          <w:b/>
        </w:rPr>
        <w:t xml:space="preserve">Quelle: </w:t>
      </w:r>
      <w:r>
        <w:t>https://mcp.opencaselaw.ch/entscheid/ge_gerichte_P_22874_2019</w:t>
      </w:r>
    </w:p>
    <w:p>
      <w:r>
        <w:t>FR: GE_GERICHTE P/22874/2019 du 29 juin 2021</w:t>
      </w:r>
    </w:p>
    <w:p>
      <w:r>
        <w:t>IT: GE_GERICHTE P/22874/2019 del 29 giugno 2021</w:t>
      </w:r>
    </w:p>
    <w:p>
      <w:pPr>
        <w:pStyle w:val="Heading2"/>
      </w:pPr>
      <w:r>
        <w:t>Regeste</w:t>
      </w:r>
    </w:p>
    <w:p>
      <w:r>
        <w:t>PEINE COMPLÉMENTAIRE | LEI.115.al1.leta; CP.47; CP.42; CP.49.al2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l'Etat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2.1.3.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 arrêt du Tribunal fédéral 6B_952/2016 , 6B_962/2016 du 29 août 2017 consid. 4.2).</w:t>
      </w:r>
    </w:p>
    <w:p>
      <w:r>
        <w:rPr>
          <w:b/>
        </w:rPr>
        <w:t>E. 2.2</w:t>
      </w:r>
    </w:p>
    <w:p>
      <w:r>
        <w:t>La faute de l'appelant n'est pas légère. Certes, la violation des règles sur le séjour et l'intégration des étrangers n'entraîne pas une lésion sérieuse de l'ordre public. Elle n'en enfreint pas moins la législation dans ce domaine, éminemment délicat, et entraîne une charge lourde pour la collectivité soit, in fine , le contribuable, en raison de la mobilisation des nombreux acteurs appelés à la réprimer. Dans le cas d'espèce, cette faute est alourdie par la détermination de l'appelant, qui a de nombreux antécédents spécifiques. En outre, il n'a pas hésité à faire usage d'une carte d'identité étrangère contrefaite. Sa collaboration a été médiocre. Jusqu'au prononcé de première instance, il n'a admis que l'évidence, soit l'entrée illégale, tout en prétendant avoir ignoré qu'il était sous le coup d'une interdiction administrative, pour ne renoncer à contester l'usage de la carte d'identité précitée qu'en appel. La prise de conscience est inexistante, l'intéressé n'évoquant aucun regret. Le danger grave couru par l'appelant en Mauritanie, allégué devant la CPAR dans la précédente procédure, mais pas dans le cadre du présent appel, n'est pas établi, de sorte qu'il ne peut être retenu, ni n'est d'ailleurs soutenu, que la situation personnelle de l'appelant expliquerait son comportement délictueux. Si l'affirmation selon laquelle il a pu régulariser sa situation relève de l'euphémisme, il demeure qu'en l'état, il bénéficie du statut de requérant d'asile. Cela ne guérit pas rétroactivement l'entrée illégale objet de la présente procédure, mais est un élément favorable dont il convient de tenir compte. Pour autant, vu les nombreux antécédents de l'appelant à la date du 8 novembre 2019, et le pas supplémentaire accompli par l'usage d'une fausse carte d'identité, seule une peine privative de liberté paraît entrer en considération, d'autant plus qu'il est loin d'être acquis que la procédure d'asile désormais reprise aboutira à une décision favorable et qu'il convient de donner à l'appelant le signal clair qu'en cas de rejet, il ne saurait rester illicitement en Suisse, ainsi qu'il tente de le faire depuis 2014. Le genre de peine appropriée étant identique à celle prononcée par l'arrêt de la CPAR le 27 novembre 2020, et vu le concours rétrospectif, il s'agit de prononcer une peine complémentaire. Il faut retenir que si elle avait eu à connaître, au moment de rendre ledit arrêt, également de l'entrée illégale intervenue deux jours avant le début du séjour illégal ayant commencé le 10 novembre 2019, la CPAR n'aurait pas infligé une peine plus lourde que celle de 14 mois qu'elle a alors prononcée. Elle l'aurait en revanche aggravée de 10 jours (peine de base : 20 jours) pour l'usage de la fausse carte d'identité. Le jugement sera partant réformé, la peine, complémentaire à celle prononcée le 27 novembre 2020, étant ramenée à 10 jours.</w:t>
      </w:r>
    </w:p>
    <w:p>
      <w:r>
        <w:rPr>
          <w:b/>
        </w:rPr>
        <w:t>E. 3</w:t>
      </w:r>
    </w:p>
    <w:p>
      <w:r>
        <w:t>2. Malgré les antécédents de l'appelant (parmi lesquels ne compte pas la condamnation du 27 novembre 2020, ces faits étant, certes de très peu, postérieurs à ceux à l'origine de la présente procédure), il ne peut désormais être retenu que le pronostic serait défavorable, sauf à préjuger de l'issue de la procédure d'asile, reprise récemment. Ainsi, pour ce seul motif, il convient d'admettre, d'office, que la peine complémentaire de dix jours peut encore être assortie du sursis. Vu les lourds antécédents spécifiques de l'intéressé et les incertitudes quant à l'issue de ladite procédure, la mesure sera assortie d'un long délai d'épreuve de quatre ans. Le jugement est réformé dans cette mesure également.</w:t>
      </w:r>
    </w:p>
    <w:p>
      <w:r>
        <w:rPr>
          <w:b/>
        </w:rPr>
        <w:t>E. 4</w:t>
      </w:r>
    </w:p>
    <w:p>
      <w:r>
        <w:t>L'appelant obtient partiellement gain de cause, soit une peine de même genre, contrairement à sa conclusion principale, mais plus clémente et le bénéfice du sursis. Il ne supportera dès lors que la moitié des frais de la procédure d'appel, comprenant un émolument d'arrêt de CHF 1'500.- (art. 428 al. 1 CPP et art. 14 al. 1 let e du Règlement fixant le tarif des frais en matière pénale [RTFMP]) et de l'émolument complémentaire de jugement par CHF 600.-, soit CHF 300.-. Le verdict de culpabilité subsistant, les frais de la procédure de première instance avant émolument complémentaire, ramenés par le TP à CHF 500.-, resteront à charge du condamné.</w:t>
      </w:r>
    </w:p>
    <w:p>
      <w:r>
        <w:rPr>
          <w:b/>
        </w:rPr>
        <w:t>E. 5</w:t>
      </w:r>
    </w:p>
    <w:p>
      <w:r>
        <w:t>Considéré globalement, l'état de frais produit par la défenseure d'office de l'appelant satisfait les exigences légales et jurisprudentielles régissant l'assistance judiciaire gratuite en matière pénale. Sa rémunération sera partant arrêtée à CHF 452.35, correspondant à une heure et 45 minutes d'activité au tarif de CHF 200.-/heure plus la majoration forfaitaire de 20% et l'équivalent de la TVA au taux de 7.7% en CHF 32.35.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