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P/22857/2019 vom 21. November 2019</w:t>
      </w:r>
    </w:p>
    <w:p>
      <w:r>
        <w:t>GE Cour de justice, 2019-11-21, FR</w:t>
      </w:r>
    </w:p>
    <w:p>
      <w:r>
        <w:rPr>
          <w:b/>
        </w:rPr>
        <w:t xml:space="preserve">Quelle: </w:t>
      </w:r>
      <w:r>
        <w:t>https://mcp.opencaselaw.ch/entscheid/ge_gerichte_P_22857_2019</w:t>
      </w:r>
    </w:p>
    <w:p>
      <w:r>
        <w:t>FR: GE_GERICHTE P/22857/2019 du 21 novembre 2019</w:t>
      </w:r>
    </w:p>
    <w:p>
      <w:r>
        <w:t>IT: GE_GERICHTE P/22857/2019 del 21 novembre 2019</w:t>
      </w:r>
    </w:p>
    <w:p>
      <w:pPr>
        <w:pStyle w:val="Heading2"/>
      </w:pPr>
      <w:r>
        <w:t>Regeste</w:t>
      </w:r>
    </w:p>
    <w:p>
      <w:r>
        <w:t>ESCROQUERIE;COMPÉTENCE RATIONE LOCI | cpp.310; cp.8; cp.146; cp.251</w:t>
      </w:r>
    </w:p>
    <w:p>
      <w:pPr>
        <w:pStyle w:val="Heading2"/>
      </w:pPr>
      <w:r>
        <w:t>Erwägungen</w:t>
      </w:r>
    </w:p>
    <w:p>
      <w:r>
        <w:rPr>
          <w:b/>
        </w:rPr>
        <w:t>E. 1</w:t>
      </w:r>
    </w:p>
    <w:p>
      <w:r>
        <w:t>Le recours a été déposé selon la forme et dans le délai prescrits (art. 385 al. 1 et 396 al. 1 CPP) - les formalités de l'art. 85 al. 2 CPP n'ayant pas été observées -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w:t>
      </w:r>
    </w:p>
    <w:p>
      <w:r>
        <w:rPr>
          <w:b/>
        </w:rPr>
        <w:t>E. 2</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4.1</w:t>
      </w:r>
    </w:p>
    <w:p>
      <w:r>
        <w:t>. Conformément à l'art. 310 al. 1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ou lorsqu'il existe des empêchements de procéder (let. b). Selon la jurisprudence, cette disposition doit être appliquée conformément au principe in dubio pro duriore,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la procédure doit être ouverte (ATF 143 IV 241 consid. 2.2.1 p. 243 ; arrêt du Tribunal fédéral 6B_1153/2016 du 23 janvier 2018 consid. 3.1., non publié in ATF 144 IV 81 ).</w:t>
      </w:r>
    </w:p>
    <w:p>
      <w:r>
        <w:rPr>
          <w:b/>
        </w:rPr>
        <w:t>E. 4.2</w:t>
      </w:r>
    </w:p>
    <w:p>
      <w:r>
        <w:t>L'incompétence des autorités pénales suisses à raison du lieu est constitutive d'un empêchement définitif de procéder au sens de l'art. 310 al. 1 let. b CPP (arrêts du Tribunal fédéral 6B_1355/2018 du 29 février 2019 consid. 4.5.1; 6B_127/2013 du 3 septembre 2013 consid. 4; ACPR/488/2014 du 31 octobre 2014 consid. 2.1; cf. toutefois l'arrêt du Tribunal fédéral 6B_1045/2014 du 19 mai 2015 consid. 4.3, non publié in ATF 141 IV 205 , qui y voit une condition à l'ouverture de l'action pénale). Aux termes de l'art. 3 al. 1 CP, le Code pénal suisse est applicable à quiconque commet un crime ou un délit en Suisse. En application de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(ATF 144 IV 265 consid 2.7.2 p. 275; 141 IV 205 consid. 5.2 p. 209 s.).</w:t>
      </w:r>
    </w:p>
    <w:p>
      <w:r>
        <w:rPr>
          <w:b/>
        </w:rPr>
        <w:t>E. 4.3</w:t>
      </w:r>
    </w:p>
    <w:p>
      <w:r>
        <w:t>En matière d'escroquerie (art. 146 CP), le Tribunal fédéral a considéré que cette infraction était un délit matériel à double résultat: le premier était constitué par l'appauvrissement de la victime, le second par l'enrichissement, dont seul le dessein - à l'exclusion de la réalisation - était un élément constitutif de l'infraction. Selon la jurisprudence, il n'y a pas de raison de considérer qu'il y aurait une opposition entre la notion de résultat recherché par l'auteur et celle de résultat au sens de l'art. 7 aCP (équivalant à l'art. 8 CP), cela sous prétexte que le législateur n'a pas fait dépendre formellement la réalisation de l'escroquerie de la réalisation effective de l'enrichissement voulu par l'auteur. Dès lors, le lieu où devait se produire le résultat recherché par l'auteur (où il s'est peut-être, suivant le cas, produit) doit également être considéré comme le lieu du résultat au sens de l'art. 8 CP (ATF 109 IV 1 consid. 3c p. 3 ss). À côté du lieu d'appauvrissement de la victime ou de celui de l'enrichissement de l'auteur figurent également le lieu de survenance de l'erreur, soit celui où la dupe est amenée à se forger une représentation erronée de la situation de fait (A. DYENS, Territorialité et ubiquité en droit pénal international suisse , Bâle 2014, p. 282), et le lieu où se trouve l'auteur au moment où il réalise la tromperie astucieuse (arrêt du Tribunal fédéral 6B_635/2018 du 24 octobre 2018 consid. 2.1.3).</w:t>
      </w:r>
    </w:p>
    <w:p>
      <w:r>
        <w:rPr>
          <w:b/>
        </w:rPr>
        <w:t>E. 4.4</w:t>
      </w:r>
    </w:p>
    <w:p>
      <w:r>
        <w:t>En matière de faux matériel ou intellectuel, le lieu de l'acte se définit comme le lieu où l'auteur confectionne un faux, falsifie un titre ou confère un contenu mensonger à un titre. En ce qui concerne l'usage de faux, le lieu de l'acte se situe au lieu où l'auteur utilise le faux (ATF 122 IV 162 consid. 5 p. 170; arrêt du Tribunal fédéral 6B_635/2018 du 24 octobre 2018 consid. 2.1.3).</w:t>
      </w:r>
    </w:p>
    <w:p>
      <w:r>
        <w:rPr>
          <w:b/>
        </w:rPr>
        <w:t>E. 4.5</w:t>
      </w:r>
    </w:p>
    <w:p>
      <w:r>
        <w:t>En l'espèce, quand bien même une escroquerie au procès aurait été commise par le mis en cause, celle-ci serait intervenue en Grèce. En effet, tant la commission de l'acte que le préjudice subi auraient eu lieu en Grèce, l'appauvrissement de la recourante résultant de la condamnation à payer. Un éventuel paiement ultérieur par cette dernière, domiciliée à Genève, n'est qu'une conséquence indirecte et ne permet pas de fonder un for en Suisse. Au surplus, l'élément constitutif de l'astuce ne semble pas rempli, puisque la recourante n'a pas comparu devant la juridiction grecque, malgré les convocations qui lui ont été adressées, étant rappelé que des exigences accrues sont requises par la jurisprudence pour admettre l'astuce dans le cadre d'une escroquerie au procès (ATF 122 IV 197 consid. 3d = JdT 1997 IV 145 consid. 3d et les arrêts cités). Le séquestre prononcé par les autorités civiles genevoises ne peut davantage être considéré comme le résultat d'une escroquerie, puisque celui-ci a été obtenu sur la base d'un jugement entré en force et n'est pas entaché d'un vice qui emporterait sa nullité, quand bien même la recourante en conteste le bien-fondé. En tout état de cause, cette dernière ne subit, en raison dudit séquestre, pas d'appauvrissement, la procédure civile étant encore pendante devant le TPI. S'agissant de l'infraction de faux dans les titres, des factures inexactes ne peuvent être qualifiées de faux intellectuels que dans des circonstances exceptionnelles, qui ne sont pas remplies ici (ATF 138 IV 130 consid. 2.2.1 p. 135 et les arrêts cités). Rien ne permet en effet de retenir que les factures litigieuses, produites devant les autorités grecques, revêtaient une autre fonction que celle, classique, de tarification et qu'une valeur probante accrue devait ainsi leur être reconnue. En tout état de cause, l'infraction n'aurait, à l'évidence, pas été commise en Suisse mais l'aurait été devant les autorités grecques, devant lesquelles le débat se serait tenu si la recourante s'y était présentée. Pour le surplus, le jugement grec du 28 août 2018, produit devant les autorités suisses, ne saurait être considéré comme un faux intellectuel, puisqu'il n'est pas le résultat d'une escroquerie au procès. Les autorités judiciaires pénales suisses, respectivement genevoises, ne sont donc manifestement pas compétentes pour poursuivre les infractions dénoncées par la recourante, de sorte que le Ministère public était fondé à retenir un empêchement de procéder au sens de l'art. 310 al. 1 let. b CPP.</w:t>
      </w:r>
    </w:p>
    <w:p>
      <w:r>
        <w:rPr>
          <w:b/>
        </w:rPr>
        <w:t>E. 5</w:t>
      </w:r>
    </w:p>
    <w:p>
      <w:r>
        <w:t>Justifiée, l'ordonnance querellée sera donc confirmée.</w:t>
      </w:r>
    </w:p>
    <w:p>
      <w:r>
        <w:rPr>
          <w:b/>
        </w:rPr>
        <w:t>E. 6</w:t>
      </w:r>
    </w:p>
    <w:p>
      <w:r>
        <w:t>Le recourant, qui succombe, supportera les frais envers l'État, qui seront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