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P/22762/2021 vom 17. November 2022</w:t>
      </w:r>
    </w:p>
    <w:p>
      <w:r>
        <w:t>GE Cour de justice, 2022-11-17, FR</w:t>
      </w:r>
    </w:p>
    <w:p>
      <w:r>
        <w:rPr>
          <w:b/>
        </w:rPr>
        <w:t xml:space="preserve">Quelle: </w:t>
      </w:r>
      <w:r>
        <w:t>https://mcp.opencaselaw.ch/entscheid/ge_gerichte_P_22762_2021</w:t>
      </w:r>
    </w:p>
    <w:p>
      <w:r>
        <w:t>FR: GE_GERICHTE P/22762/2021 du 17 novembre 2022</w:t>
      </w:r>
    </w:p>
    <w:p>
      <w:r>
        <w:t>IT: GE_GERICHTE P/22762/2021 del 17 novembre 2022</w:t>
      </w:r>
    </w:p>
    <w:p>
      <w:pPr>
        <w:pStyle w:val="Heading2"/>
      </w:pPr>
      <w:r>
        <w:t>Regeste</w:t>
      </w:r>
    </w:p>
    <w:p>
      <w:r>
        <w:t>LÉSION CORPORELLE SIMPLE;VOL(DROIT PÉNAL);VIOLATION DE DOMICILE | CP.123.ch1; CP.139; CP.186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européenne des droits de l’homme (CEDH) et, sur le plan interne, par les art. 32 al. 1 de la Constitution fédérale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w:t>
      </w:r>
    </w:p>
    <w:p>
      <w:r>
        <w:rPr>
          <w:b/>
        </w:rPr>
        <w:t>E. 2.3</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JdT 2012 IV 79 ; arrêt du Tribunal fédéral 6B_1306/2017 du 17 mai 2018 consid. 2.1.1 ; M. NIGGLI / M. HEER / H. WIPRÄCHTIGER (éds), Strafprozessordnung / Jugendstrafprozessordnung, Basler Kommentar StPO/JStPO ,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w:t>
      </w:r>
    </w:p>
    <w:p>
      <w:r>
        <w:rPr>
          <w:b/>
        </w:rPr>
        <w:t>E. 2.4</w:t>
      </w:r>
    </w:p>
    <w:p>
      <w:r>
        <w:t>À l'heure de procéder à l'établissement des faits, il est incontesté que l'appelant a pénétré au domicile des plaignants D______/E______, sans droit et contre leur volonté. Sa présence a engendré une altercation et la police est intervenue sur les lieux alors que ces derniers entouraient l’appelant qui était assis sur les escaliers au niveau du rez-de-chaussée. Pour le surplus, celui-ci conteste son implication en lien avec les infractions de vol, de tentative de vol et de lésions corporelles simples au motif qu’il était uniquement entré dans la maison pour se mettre au chaud et y dormir. Il sied dès lors de déterminer si le scénario lié aux infractions précitées, tel que décrit par les plaignants et qui résultent de l'acte d'accusation, a eu lieu. À cette fin, en présence d'un cas de " déclarations contre déclarations ", il est nécessaire, à titre liminaire, d'apprécier et de confronter la crédibilité des dires des protagonistes à l'aune des éléments versés au dossier.</w:t>
      </w:r>
    </w:p>
    <w:p>
      <w:r>
        <w:rPr>
          <w:b/>
        </w:rPr>
        <w:t>E. 2.4.1</w:t>
      </w:r>
    </w:p>
    <w:p>
      <w:r>
        <w:t>L'appelant a livré, au gré de ses auditions, nombre d'explications contradictoires et confuses sur les circonstances des différents événements. Ses propos ont tout d'abord varié sur ses agissements à l'intérieur de la maison. S'il a indiqué à la police qu'il était resté au rez-de-chaussée, il a déclaré devant le MP que les plaignants l'avaient réveillé et forcé à monter à l'étage. En première instance et devant la CPAR, il a fini par revenir sur ses propos en indiquant être resté au rez-de-chaussée, respectivement sur les escaliers. Il aurait été pourtant plus logique, à suivre le récit de l'appelant qui explique avoir voulu se mettre au chaud puis dormir, qu'il se mette ailleurs que sur les escaliers de l’entrée pour le faire. La Cour observe qu’en appel, il a également laissé ouverte la question de savoir s'il avait fait un tour et fouillé la maison, répondant qu'il ne s'en souvenait plus. Il a ensuite tenu des explications confuses concernant le porte-cartes retrouvé par la police dans sa poche avant droite. Il a d’emblée soutenu que les plaignants le lui avait mis dans sa poche, ce qu’il a maintenu sur le principe durant le reste de la procédure, se plaçant en victime d’un stratagème des plaignants qui souhaitaient le rendre coupable de vol. Il a néanmoins admis au MP qu'il n'avait vu personne faire cela. Il a par ailleurs argué en appel qu'il n'avait aucun intérêt à se munir de cartes bancaires, dès lors qu'il ne savait pas les utiliser, ce qui paraît peu plausible aux yeux de la Cour. Ses déclarations ont également été contradictoires au sujet de son altercation avec les plaignants. Devant la police, il a ainsi soutenu ne pas s’être battu, mais avoir uniquement reçu des coups de la part de ces derniers, avant de concéder devant le MP avoir fait preuve de résistance et pu frapper l’un d’eux, tout en contestant néanmoins être à l’origine des blessures de E______. Lors d’une audience ultérieure, il est revenu sur ses propos, indiquant finalement ne pas s’être débattu. Interpellé à différentes reprises sur les blessures de E______, il a indiqué devant le TP ne pas pouvoir les expliquer, avant de les attribuer en appel au fait que celui-ci courrait dans " tous les sens " dans la maison. Plus généralement, certains éléments de la version de l'appelant ne sont pas crédibles. En témoignent les explications selon lesquelles les plaignants l’auraient contraint à monter à l’étage pour lui attribuer des intentions de vol, alors même qu’il soutient, de manière contradictoire, être constamment resté sur les escaliers. Si cette version, qui ne l’incrimine en rien, lui fait au contraire jouer le beau rôle, elle tendrait à faire passer in casu les victimes pour les agresseurs, ce qui ne saurait, compte tenu des circonstances et des éléments mentionnés infra , emporter la conviction de la Cour. Dans la même logique, il explique qu’il aurait lui-même demandé aux plaignants d’appeler la police, ce qui semble peu vraisemblable, tant par l’illégalité de ses agissements à l’égard des plaignants, lui-même ayant admis avoir pénétré sans droit dans la maison, que par sa situation irrégulière d’un point de vue administratif ou encore par le fait qu’il détenait des stupéfiants. À le suivre ensuite, il aurait consommé de la cocaïne précédemment aux faits, ajoutant en appel avoir également été sous l’emprise d'alcool et de G______. Il en tire l’argument qu’il n’était pas dans son état normal et qu’il ne se souvient pas des faits, alors qu'il a donné de nombreux détails sur la façon dont les choses se sont passées selon lui.</w:t>
      </w:r>
    </w:p>
    <w:p>
      <w:r>
        <w:rPr>
          <w:b/>
        </w:rPr>
        <w:t>E. 2.4.2</w:t>
      </w:r>
    </w:p>
    <w:p>
      <w:r>
        <w:t>Face aux déclarations divergentes de l’appelant, rien ne permet de mettre en doute les déclarations constantes et mesurées des plaignants, lesquelles font état de nombre d’éléments qui attestent de la réalité des faits subis, ne correspondant nullement à la description que l'appelant en a fait et sont corroborées par les pièces au dossier. D______ a ainsi indiqué que plusieurs chambres avaient été fouillées, dont la sienne, précisant devant le MP et au TP que la chambre de sa fille, aux dires de celle-ci et alors que la police lui avait fait remarquer qu’elle était " sens dessus dessous ", ne se trouvait pas dans un état habituel, les placards ayant été éventrés et nombre d’objets se trouvant sur le lit. Il a informé la police que son téléphone portable avait disparu, en donnant précisément l’endroit où il l'avait posé. Il a reconnu son porte-cartes, qui contenait ses cartes bancaires et sa pièce d’identité et que la police avait trouvé dans la poche du pantalon du prévenu, et confirmé que la boîte à bijoux retrouvée par la police au sol, dans le hall de l’appartement, était à sa fille. Quant à E______, il a décrit la manière dont il avait été réveillé par des bruits inhabituels, précisant qu’il s’agissait de bruit de portes, ce qui peut coïncider avec le fait que des chambres avaient été fouillées. Il avait entendu la voix de deux personnes, lesquelles ne lui étaient pas familières, et n’a pas immédiatement pensé à des cambrioleurs, mais à l’ami qui logeait chez eux et qui aurait pu être accompagné, ce qui plaide pour sa sincérité. Tous deux n’ont pas cherché à accabler l’appelant ni exagéré leurs propos, ce qui renforce la crédibilité de leur récit et l’idée qu’ils n’avaient aucun bénéfice à tirer de fausses accusations à l’endroit de l’appelant. D______ n’a ainsi fait état que d’un seul objet manquant, soit son téléphone portable, relatant en outre les tentatives effectuées pour retrouver le téléphone (ndr : donnant le dernier signal indiquant où l’appareil se trouvait). Il a admis qu’aucun dommage n’avait été causé dans la maison et reconnu que s’il avait entendu son fils crier " au voleur ", il n’avait pour sa part entendu aucun bruit durant son sommeil. Quant à E______, il est resté constamment mesuré dans ses déclarations, expliquant dans le détail le fil des événements, relatant même avoir attendu quelques minutes avant de s’enquérir de ce qu’il se passait dans la maison. Il a notamment indiqué la manière dont il avait découvert la porte d’entrée entrouverte, avant de la fermer à clé, puis sa rencontre avec l’appelant dans les escaliers, la tentative de fuite de celui-ci et enfin l’altercation qui s'en était suivie avec la chute dans les escaliers, lui occasionnant une blessure au tibia et une dermabrasion à l’épaule, lesquelles sont relatées dans le rapport d’arrestation et corroborées par les photographies et le certificat médical versés au dossier. E______ a reconnu ne pas avoir vu si l’appelant était muni de la boîte à bijoux et n’a pas fait état de choses dérobées, hormis le téléphone de son père, explications qui relèvent d'un gage de sincérité.</w:t>
      </w:r>
    </w:p>
    <w:p>
      <w:r>
        <w:rPr>
          <w:b/>
        </w:rPr>
        <w:t>E. 2.4.3</w:t>
      </w:r>
    </w:p>
    <w:p>
      <w:r>
        <w:t>Au vu de ce qui précède, les déclarations constantes et circonstanciées des plaignants sont crédibles et les dénégations de l'appelant n'emportent pas la conviction. La Cour tient ainsi pour établis les faits tels que décrits par ces derniers. Partant, la Cour analysera infra ( cf. consid. 3.2.1. à 3.2.3. et 4.2.) chacune des infractions encore contestées en tenant compte de la crédibilité des déclarations des plaignants, respectivement du contexte issu des éléments au dossier retenus ci-avant.</w:t>
      </w:r>
    </w:p>
    <w:p>
      <w:r>
        <w:rPr>
          <w:b/>
        </w:rPr>
        <w:t>E. 3</w:t>
      </w:r>
    </w:p>
    <w:p>
      <w:r>
        <w:t>3.1.1. Selon l'art. 139 ch. 1 CP, se rend coupable de vol celui qui, pour se procurer ou procurer à un tiers un enrichissement illégitime, aura soustrait une chose mobilière appartenant à autrui dans le but de se l'approprier. 3.1.2. L'art. 172 ter al. 1 CP prévoit que si l'acte ne visait qu'un élément patrimonial de faible valeur ou un dommage de moindre importance, l'auteur sera, sur plainte, puni d'une amende. Un élément patrimonial est de faible valeur au sens de cette disposition, s'il ne vaut pas plus que CHF 300.- (ATF 142 IV 129 consid. 3.1 p. 133; 123 IV 155 consid. 1a p. 156; 123 IV 113 consid. 3d p. 119). Selon la jurisprudence, c'est l'intention qui est déterminante et non le résultat obtenu. L'art. 172 ter CP n'est applicable que si l'auteur n'avait d'emblée en vue qu'un élément patrimonial de faible valeur (ATF 123 IV 155 consid. 1a p. 156; 122 IV 156 consid. 2a p. 160; arrêt 6B_158/2018 du 14 juin 2018 consid. 2.2). De jurisprudence constante, lorsque l'auteur s'empare d'un porte-monnaie, un produit de l'infraction de plus de CHF 300.- peut entrer en considération. Sans indices contraires concrets, le dol éventuel correspondant doit être retenu (ATF 123 IV 197 consid. 2c p. 201; cf. arrêts 6B_158/2018 du 14 juin 2018 consid. 2; 6B_208/2010 du 15 juillet 2010 consid. 3). 3.1.3.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120 IV 136 consid. 2b p. 141, 265 consid. 2c/aa p. 271 s. et les arrêts cités). 3.1.4.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1.1.3.). En tant que délit formel, le délit manqué de vol n’est pas concevable, seule la tentative inachevée étant envisageable (A. MACALUSO / L. MOREILLON / N. QUELOZ [éds], Commentaire romand, Code pénal II , Bâle 2017, n. 56 ad art. 139). 3.2.1. S’agissant du vol du téléphone portable de D______ en coactivité avec un comparse non-identifié, l’accusation portée contre l’appelant doit être appréciée à l’aune du contexte établi supra sur la base des différents éléments à la procédure ( cf. consid. 2.4.1. ss) qui, outre la crédibilité des plaignants, font état de plusieurs voix et ouvertures de portes entendues, la porte d’entrée retrouvée ouverte et les démarches vaines des plaignants pour retrouver le téléphone. L’élément de la coactivité est donné, dès lors que les déclarations de l’appelant, qui argue être entré seul dans la maison pour y dormir, ne convainquent pas, la présence d’un comparse étant établie sur le vu des éléments retenus ci-avant, dont il découle également que les deux individus s’étaient introduits dans la maison pour voler. Sous l'angle subjectif, l’appelant, qui a pénétré chez les plaignants afin de commettre un vol avec un comparse, s'est pleinement associé au vol commis par ce dernier. Partant, le jugement entrepris sera confirmé sur ce point, l'appelant étant manifestement co-auteur du vol du téléphone portable. 3.2.2. S’agissant d’avoir volé la boîte à bijoux et le porte-cartes, infractions commises sous la forme de la tentative dès lors que l’appelant n’a pas réussi à mener à terme son entreprise délictueuse, les explications divergentes de celui-ci pour justifier sa présence ne sauraient être retenues dans le contexte mis en avant supra ( cf. consid. 2.4.1. ss), alors que le porte-cartes de D______ a été retrouvé par la police dans la poche de son pantalon et que la boîte à bijoux – appartenant à sa fille – se trouvait, sans raison, au sol dans le hall du rez-de-chaussée de la maison. L'appelant soutient que le porte-cartes et la boîte à bijoux – au motif qu'elle est estampillée " J______ " – sont des objets patrimoniaux de faible valeur. À teneur de jurisprudence, il ressort pourtant que seule est déterminante la volonté de l'appelant, et non le résultat, un produit supérieur à CHF 300.- entrant en considération pour le vol d'un porte-monnaie. Partant, à l'instar du TP, la Cour ne fera pas application de l'art. 172 ter CP dans le cas d'espèce, estimant que l'intention de l'appelant, à tout le moins par dol éventuel, n'était pas de s'emparer d'objets de faible valeur, tant en ce qui concerne le porte-cartes que la boîte à bijoux. Le jugement entrepris sera ainsi confirmé sur ce point.</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L’art. 123 CP décrit une infraction de nature intentionnelle. Le dol éventuel suffit (ATF 119 IV 1 consid. 5a).</w:t>
      </w:r>
    </w:p>
    <w:p>
      <w:r>
        <w:rPr>
          <w:b/>
        </w:rPr>
        <w:t>E. 4.2</w:t>
      </w:r>
    </w:p>
    <w:p>
      <w:r>
        <w:t>En l'espèce, les blessures provoquées par l'appelant en se débattant et en faisant chuter E______ dans les escaliers sont étayées par les photographies versées à la procédure et un constat médical établi le jour des faits, à teneur duquel celui-ci présentait une plaie d'environ trois centimètres au tibia ainsi qu'une dermabrasion à l'épaule droite, soit des blessures constitutives de lésions corporelles simples. Au vu de ces éléments et du contexte retenu supra ( cf. consid. 2.4.1. ss), les arguments soulevés par le conseil de l'appelant, lequel invoque en appel la possibilité que les blessures ne soient pas dues à l'altercation, son client n'ayant qu'un souvenir flou des événements, tombent à faux. Partant, l'appelant ne pouvait exclure que E______ se blesse au cours de l’altercation, si bien qu'il s'est accommodé, sur le plan subjectif, de causer les lésions corporelles subies par E______. Les éléments constitutifs de l'infraction sont dès lors réalisés et le jugement entrepris sera confirmé sur ce point.</w:t>
      </w:r>
    </w:p>
    <w:p>
      <w:r>
        <w:rPr>
          <w:b/>
        </w:rPr>
        <w:t>E. 5</w:t>
      </w:r>
    </w:p>
    <w:p>
      <w:r>
        <w:t>Au vu des infractions dont il s'est rendu coupable, l'appelant est punissable au plus d'une peine privative de liberté de cinq ans (vol – art. 139 ch. 1 CP), respectivement de trois ans (lésions corporelles simples – art. 123 ch. 1 CP ; violation de domicile – art. 186 CP ; rupture de ban – art. 291 CP), ou d'une peine pécuniaire. La violation de l’art. 19a ch. 1 LStup est, quant à elle, sanctionnée de l'amende.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5.1.3.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5.1.4. Selon l'art. 46 CP, si, durant le délai d'épreuve, le condamné commet un crime ou un délit et qu'il y a dès lors lieu de prévoir qu'il commettra de nouvelles infractions, le juge révoque le sursis ou le sursis partiel (al. 1, 1 ère phrase). Si la peine révoquée et la nouvelle peine sont du même genre, le juge fixe une peine d'ensemble en appliquant par analogie l'art. 49 (al. 1, 2 ème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5.1.5.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1-110 CP , Bâle 2009, n. 19 ad art. 106). 5.2.1.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 Tribunal fédéral a déduit de la jurisprudence européenne que la Directive sur le retour n'est pas applicable, en vertu de son art. 2 par. 2 let. b, aux ressortissants des pays tiers ayant commis, outre le séjour irrégulier, un ou plusieurs autres délits en dehors du droit pénal sur les étrangers. 5.2.2. À teneur de la jurisprudence précitée, l'appelant – qui s'est rendu coupable d'un délit de rupture de ban en sus de différentes infractions ne relevant pas du droit pénal sur les étrangers – n'est donc pas soumis à la Directive sur le retour dans le cas d'espèce. Le prononcé d'une peine privative de liberté pour réprimer in casu l'infraction de rupture de ban ne violerait ainsi pas le droit international. 5.3.1. La faute de l'appelant en relation avec les infractions liées au cambriolage commis au préjudice des plaignants, soit celles de lésions corporelles simples, violation de domicile, vol et tentative de vol est de gravité moyenne. Celui-ci s'en est pris à divers biens juridiques, tels que l'intégrité corporelle et le patrimoine, et a agi sans considération pour la liberté de domicile des plaignants, tout en faisant primer ses intérêts, ce qui relève du mobile égoïste de l'appât du gain. Sa situation personnelle est certainement précaire, mais elle ne justifiait pas pour autant son comportement. Sa responsabilité est entière, l'appelant ne se prévalant d'ailleurs pas d'une responsabilité diminuée en raison de l'état, évoqué encore en appel, dans lequel il prétendait se trouver au moment des faits. Sa collaboration à la procédure a été mauvaise. Il n'a eu de cesse de contester les faits qui lui étaient reprochés, à l'exception de la violation de domicile qu'il ne pouvait nier compte tenu des circonstances de son interpellation, modifiant ses versions au gré des auditions et fournissant des explications dépourvues de crédibilité, tout comme il a toujours nié avoir agi avec un comparse. Sa prise de conscience est faible et il s'obstine dans une version mensongère, même s'il a formulé certaines excuses à l'égard des plaignants. Bien que non spécifiques, il a de nombreux antécédents sur les deux dernières années, se montrant ainsi imperméable aux précédentes peines prononcées à son encontre, fermes pour certains. Quant à l'infraction de rupture de ban, l'intérêt juridique protégé relève du respect de l'autorité publique. Ses mobiles résident dans son intérêt à demeurer en Suisse au mépris d'un ordre de quitter le territoire, alors que sa situation personnelle, certes précaire, résulte essentiellement de son obstination à rester dans un pays où il n'a pas d'avenir pour régulariser sa situation et dont il a été expulsé. Une peine pécuniaire n'entre pas en considération au vu de ses antécédents, de son impécuniosité et de sa situation administrative, de sorte qu'une peine privative de liberté ferme doit être prononcée, le pronostic d'avenir étant concrètement défavorable. 5.3.2. Au vu de ce pronostic défavorable, la récidive dans le délai d'épreuve imparti par le MP le 25 février 2020 (ndr : peine pécuniaire de 60 jours-amendes) et le 8 avril 2020 (ndr : peine privative de liberté de 15 jours) commande la révocation du sursis pour chacune de ces deux condamnations. 5.3.3. Il y a concours au sens de l'art. 49 al. 1 CP, ce qui justifie une augmentation de la peine de l'infraction la plus grave, en l'occurrence celle venant sanctionner l'infraction de vol. Partant, la peine peut être hypothétiquement fixée à quatre mois pour réprimer cette seule infraction, laquelle devrait être augmentée, par le jeu du concours, de deux mois pour les lésions corporelles simples (peine théorique : trois mois), un mois pour chacune des deux tentatives (peine théorique : deux mois pour chaque tentative), un mois et quinze jours pour la violation de domicile (peine théorique : deux mois et 15 jours), et deux mois pour la rupture de ban (peine théorique : trois mois). Dès lors, en incluant la révocation du sursis qui porte sur 15 jours de peine privative de liberté en lien avec la condamnation du 8 avril 2020, une peine d'ensemble de douze mois est justifiée (11 mois et 15 jours + 15 jours) et le jugement entrepris sera confirmé. 5.3.4. Bien que la culpabilité et la peine en lien avec l'infraction à l'art. 19a LStup ne soient pas contestées en appel, la CPAR observe néanmoins que le H______ (prégabaline), soit l'un des deux produits cités dans l'acte d'accusation comme ayant été acquis et consommé par l'appelant (en sus du G______ [clonazépam]), n'est pas considéré comme une substance figurant dans les tableaux des annexes 1 à 6 de l'Ordonnance sur les tableaux des stupéfiants, soit un stupéfiant au sens des art. 2a et 7 LStup. Cela étant, la faute de l'appelant en lien avec l'acquisition et la consommation de G______ n'en reste pas moins importante et justifie à elle seule l'amende de CHF 100.-, telle que retenue par le TP. Le jugement entrepris sera par conséquent confirmé sur ce point.</w:t>
      </w:r>
    </w:p>
    <w:p>
      <w:r>
        <w:rPr>
          <w:b/>
        </w:rPr>
        <w:t>E. 6</w:t>
      </w:r>
    </w:p>
    <w:p>
      <w:r>
        <w:t>6.1.1. Conformément à l'art. 66a al. 1 let. d CP, le juge expulse un étranger du territoire suisse pour une durée de cinq à quinze ans s'il est reconnu coupable de vol (art. 139) en lien avec une violation de domicile (art. 186). 6.1.2. Selon l'art. 66a al. 2 CP, il peut néanmoins être renoncé à l'expulsion, exceptionnellement, lorsque celle-ci mettrait l'étranger dans une situation personnelle grave et que les intérêts publics à l'expulsion ne l'emportent pas sur son intérêt à demeurer en Suisse (ATF 146 IV 105 consid. 3.4.2 p. 108 ; 144 IV 332 consid. 3.3 ; arrêt du Tribunal fédéral 6B_1329/2018 du 14 février 2019 consid. 2.2).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6.2</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du Tribunal fédéral traitent des conditions de l'inscription de l'expulsion dans le SIS sur la base de ce règlement (ATF 147 II 408 ; 147 IV 340 ; 146 IV 172 ; cf. également l'arrêt du Tribunal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Vu le contenu similaire entre les deux actes, la jurisprudence découlant du premier s'applique au second. D'après le Tribunal fédéral, il ne faut pas poser des exigences trop élevées en ce qui concerne l'hypothèse d'une "menace pour l'ordre public et la sécurité publique".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 6.3.1. L'appelant ayant été reconnu coupable de vol en lien avec une violation de domicile, son expulsion est obligatoire. Aussi, une éventuelle renonciation ne peut intervenir qu'exceptionnellement, au cas où l'expulsion mettrait l'appelant dans une situation grave et où son intérêt à rester en Suisse serait supérieur à celui de la collectivité à le renvoyer dans son pays d'origine. En l'espèce, l'appelant se prévaut de sa situation personnelle, pour seul motif présidant à la renonciation à son expulsion, en particulier en lien avec de prétendues menaces de mort dont il serait l’objet en Algérie. Force est toutefois de constater qu'il n'apporte aucun élément pour étayer et rendre concrètes ses allégations et ainsi prouver qu'une expulsion en Algérie serait de nature à l'exposer à une situation personnelle grave. Surtout, l'intérêt public à l'expulsion de l'appelant apparaît supérieur à son intérêt de demeurer en Suisse au regard de la quotité de la peine privative de liberté infligée, la gravité des infractions commises, lesquelles touchent notamment à l'intégrité corporelle et le patrimoine, ses nombreux antécédents durant la brève période passée sur le territoire suisse, et l'absence de tout autre lien avec la Suisse, étant observé que les seuls liens sociaux évoqués, relatifs à l'association " K______ ", ne sont pas de nature à faire pencher la pesée des intérêts en sa faveur. Dans ces circonstances, l'expulsion de Suisse sera confirmée, la durée de celle-ci ne prêtant pas le flanc à la critique, et l'appel rejeté sur ce point. 6.3.2. S'agissant de l'inscription de l'expulsion de l'appelant au registre SIS, il convient d'examiner si elle est proportionnée. L'intérêt public est fort à l'inscription de son expulsion au registre SIS. La présence de l'appelant, ressortissant d'un pays tiers, sur le territoire d'un État membre constitue une menace pour l'ordre et la sécurité publiques. Il a été condamné à une peine privative de liberté de douze mois, ce qui correspond à la peine-plancher prévue dans le règlement européen comme critère pour déterminer si sa présence en Suisse constitue une telle menace. Il a plusieurs antécédents, qui se succèdent sur une brève période pénale, dont certaines condamnations fermes à une peine privative de liberté, lesquels ne sont pas uniquement liés à sa situation irrégulière, mais portent également sur des infractions contre l'intégrité corporelle et le patrimoine. Sa culpabilité dans la présente procédure porte sur des faits d'une certaine gravité, étant rappelé que son pronostic a par ailleurs été jugé défavorable. Au vu de ce qui précède, et à teneur de la jurisprudence du TF mentionnée supra (ATF 146 IV 172 consid. 3.2.2), aucun élément à la procédure ne permet de considérer que l'inscription de l'expulsion de l'appelant au registre SIS soit disproportionnée dans le cas d'espèce. L'inscription ordonnée par le TP sera partant confirmée et l'appel rejeté sur ce point.</w:t>
      </w:r>
    </w:p>
    <w:p>
      <w:r>
        <w:rPr>
          <w:b/>
        </w:rPr>
        <w:t>E. 7</w:t>
      </w:r>
    </w:p>
    <w:p>
      <w:r>
        <w:t>Les plaignants ayant fait part de leur renoncement à toute prétention civile à l'égard de l'appelant par courrier du 28 juin 2022, la question des conclusions civiles déduites de l'infraction par adhésion à la procédure pénale, pour lesquelles le TP a renvoyé les intéressés à agir par la voie civile, devient sans objet.</w:t>
      </w:r>
    </w:p>
    <w:p>
      <w:r>
        <w:rPr>
          <w:b/>
        </w:rPr>
        <w:t>E. 8</w:t>
      </w:r>
    </w:p>
    <w:p>
      <w:r>
        <w:t>Les motifs ayant conduit le TP à prononcer, par ordonnance séparée du 25 avril 2022 ( cf . OTDP/836/2022 ), le maintien de l'appelant en détention pour des motifs de sûreté sont toujours d'actualité, ce que celui-ci ne conteste au demeurant pas, de sorte que la mesure sera reconduite mutatis mutandis .</w:t>
      </w:r>
    </w:p>
    <w:p>
      <w:r>
        <w:rPr>
          <w:b/>
        </w:rPr>
        <w:t>E. 9</w:t>
      </w:r>
    </w:p>
    <w:p>
      <w:r>
        <w:t>La confiscation et la destruction des objets, telles qu'ordonnées par le TP dans son dispositif et non contestées en appel, seront confirmées dans la mesure où il y a lieu d'éviter que l'appelant puisse en faire usage de manière illicite à sa sortie de prison.</w:t>
      </w:r>
    </w:p>
    <w:p>
      <w:r>
        <w:rPr>
          <w:b/>
        </w:rPr>
        <w:t>E. 10.1</w:t>
      </w:r>
    </w:p>
    <w:p>
      <w:r>
        <w:t>L'appelant, qui succombe, supportera les frais de la procédure d'appel envers l'État (art. 428 CPP), comprenant un émolument de CHF 1'500.-.</w:t>
      </w:r>
    </w:p>
    <w:p>
      <w:r>
        <w:rPr>
          <w:b/>
        </w:rPr>
        <w:t>E. 10.2</w:t>
      </w:r>
    </w:p>
    <w:p>
      <w:r>
        <w:t>La répartition des frais de procédure en première instance n'a, quant à elle, pas à être revue (art. 428 al. 3 CPP), dès lors que la culpabilité de l'appelant est confirmée (art. 426 al. 1 CPP).</w:t>
      </w:r>
    </w:p>
    <w:p>
      <w:r>
        <w:rPr>
          <w:b/>
        </w:rPr>
        <w:t>E. 11</w:t>
      </w:r>
    </w:p>
    <w:p>
      <w:r>
        <w:t>11.1.1.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150.- (let. b) pour un collaborateur et CHF 110.- pour un avocat stagiaire (let. a). En cas d'assujettissement – l'assujettissement du patron de l'avocat au statut de collaborateur n'entrant pas en considération (arrêts du Tribunal fédéral 6B_486/2013 du 16 juillet 2013 consid. 4 et 6B_638/2012 du 10 décembre 2012 consid. 3.7), l'équivalent de la TVA est versé en sus. 11.1.2.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11.1.3.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11.1.4.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11.2</w:t>
      </w:r>
    </w:p>
    <w:p>
      <w:r>
        <w:t>En application de ces principes, il y a lieu de retrancher le temps consacré à la rédaction de la déclaration d'appel ainsi que celui dévolu à la lecture du jugement du TP, lequel tient sur 20 pages, activités couvertes par le forfait pour activités diverses. L'activité de collaborateur d'une durée de 6h15 relative à la préparation des débats d'appel sera réduite à 3h00 dans ce dossier dénué de complexité et qui n'a connu aucun rebondissement en appel. La rémunération pour la vacation au Palais sera adaptée au tarif réglementaire. Pour le surplus, considéré globalement, l'état de frais satisfait les exigences légales et jurisprudentielles. En conclusion, la rémunération sera arrêtée à CHF 3'347.30 correspondant à 15h45 heures d'activité au tarif de CHF 150.-/heure (CHF 2'362.50) et 1h30 au tarif de CHF 110.- (CHF 165.-) plus la majoration forfaitaire de 20% (CHF 505.50), la vacation à l'audience d'appel (CHF 75.-) et l'équivalent de la TVA au taux de 7.7% (CHF 239.30).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