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P/22687/2020 vom 22. September 2021</w:t>
      </w:r>
    </w:p>
    <w:p>
      <w:r>
        <w:t>GE Cour de justice, 2021-09-22, FR</w:t>
      </w:r>
    </w:p>
    <w:p>
      <w:r>
        <w:rPr>
          <w:b/>
        </w:rPr>
        <w:t xml:space="preserve">Quelle: </w:t>
      </w:r>
      <w:r>
        <w:t>https://mcp.opencaselaw.ch/entscheid/ge_gerichte_P_22687_2020</w:t>
      </w:r>
    </w:p>
    <w:p>
      <w:r>
        <w:t>FR: GE_GERICHTE P/22687/2020 du 22 septembre 2021</w:t>
      </w:r>
    </w:p>
    <w:p>
      <w:r>
        <w:t>IT: GE_GERICHTE P/22687/2020 del 22 settembre 2021</w:t>
      </w:r>
    </w:p>
    <w:p>
      <w:pPr>
        <w:pStyle w:val="Heading2"/>
      </w:pPr>
      <w:r>
        <w:t>Regeste</w:t>
      </w:r>
    </w:p>
    <w:p>
      <w:r>
        <w:t>IN DUBIO PRO REO;EXPULSION(DROIT PÉNAL) | LStup.19.al1; LStup.19.al2; CPP.10; CP.66a</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À l'instar des autres moyens de preuve, le juge apprécie librement la force probante d'une expertise – dont celles portant sur l'analyse de profils d'ADN (M. NIGGLI / M. HEER / H. WIPRÄCHTIGER (éds), Strafprozessordnung / Jugendstrafprozess-ordnung, Basler Kommentar StPO/JStPO , 2 e éd., Bâle 2014, n. 2 ad art. 182 ; A. KUHN / Y. JEANNERET (éds), Commentaire romand : Code de procédure pénale suisse , Bâle 2011, n. 2,7, 10 ad art. 182) –, étant rappelé qu'il ne peut s'écarter des conclusions de l'expert sans motifs sérieux et qu'il doit alors motiver sa décision (ATF 129 I 49 ; arrêt du Tribunal fédéral 6B_787/2009 du 27 novembre 2009 consid. 1.1).</w:t>
      </w:r>
    </w:p>
    <w:p>
      <w:r>
        <w:rPr>
          <w:b/>
        </w:rPr>
        <w:t>E. 2.2</w:t>
      </w:r>
    </w:p>
    <w:p>
      <w:r>
        <w:t>Dans la conception moderne du droit pénal, l'Etat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Le reproche résulte de ce que ledit auteur a fait un mauvais usage de sa liberté. Ce mésusage est qualifié de faute, sur laquelle est fondé le droit pénal moderne (L. MOREILLON / N. QUELOZ / A. MACALUSO / N. DONGOIS (éds), Commentaire romand, Code pénal I, art. 1-110 CP , 2ème édition, Bâle 2020, n. 3 et 4 ad art. 12 CP). La punissabilité du séjour irrégulier selon l'art. 115 al. 1 let b. LEI suppose que l'étranger ne se trouve pas dans l'impossibilité de quitter la Suisse et de rentrer légalement dans son pays d'origine, par exemple en raison d'un refus du pays d'origine d'admettre le retour de ses ressortissants ou de délivrer des papiers d'identité (ATF 143 IV 249 consid. 1.6.1).</w:t>
      </w:r>
    </w:p>
    <w:p>
      <w:r>
        <w:rPr>
          <w:b/>
        </w:rPr>
        <w:t>E. 2.3</w:t>
      </w:r>
    </w:p>
    <w:p>
      <w:r>
        <w:t>L’art. 19 al. 1 LStup réprime notamment l’entreposage, le transport, l’aliénation, la détention et la possession de stupéfiants. Il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 la nature indépendante des infractions elles-mêmes (arrêt du Tribunal fédéral 6B_704/2012 du 3 avril 2013 consid. 1.2). Selon l'art. 19 ch. 2 let. a LStup, le cas est grave lorsque l'auteur sait ou ne peut ignorer que l'infraction peut directement ou indirectement mettre en danger la santé de nombreuses personnes. S'agissant de la quantité pour la cocaïne, la condition objective est remplie dès que l'infraction porte sur une quantité contenant 18 grammes de substance pure (ATF 145 IV 312 consid. 2.1 ; 138 IV 100 consid. 3.2).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w:t>
      </w:r>
    </w:p>
    <w:p>
      <w:r>
        <w:rPr>
          <w:b/>
        </w:rPr>
        <w:t>E. 2.4</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 2.5.1. En l’espèce, nonobstant les dénégations de l’appelant, son implication dans un trafic de stupéfiants portant sur plus de 220 grammes de cocaïne ainsi que de la MDMA est établie. Ces faits reposent d’abord sur les déclarations constantes et crédibles du consommateur, lequel disposait de surcroît d’un revenu confortable lui permettant d’assouvir ce vice, ce qui n’a pas échappé à l’appelant qui l’a poussé à la consommation pendant la période pénale. Les échanges de messages entre eux sont éloquents à cet égard. Il n’y a pas lieu de s’écarter des quantités énoncées par le consommateur, soit 80 grammes de cocaïne et 15 grammes de MDMA, cette dernière quantité correspondant à celle saisie par la police. Le consommateur a en effet expliqué acheter cinq ou dix grammes de cocaïne à chaque transaction, qui avaient lieu plusieurs fois par semaine, et les relevés téléphoniques permettent d’établir à tout le moins 10 à 15 rencontres ; la quantité de 80 grammes est donc estimée de façon conservatrice au vu de l’intensité de leurs contacts, étant au surplus rappelé que 20 grammes bruts de cocaïne, provenant manifestement de ces transactions, ont été saisis chez le consommateur, qui n’avait ainsi pas tout consommé lors de son interpellation. La livraison, le jour de leur arrestation, d’une quantité de plus de 100 grammes à ce client est établie par les circonstances du jour des faits, notamment l’arrestation de l’appelant au pied de l’immeuble, et par les déclarations constantes du consommateur. Il s’y ajoute que si l’appelant a fait obstacle à l’analyse de son téléphone, celle de l’appareil du consommateur permet de retenir que celui-ci n’avait à cette période pas d’autre fournisseur, surtout pour une quantité aussi importante. Comme le souligne à raison le MP, la manière dont l’appelant devait être payé pour cette drogue, s’il devait la récupérer ultérieurement ou déterminer quelle en était la destination finale est sans importance. Il est en effet établi que cette remise a été effectuée par l’appelant, à des fins de vente, ce qui constitue une infraction à l’art. 19 al. 1 let. b et c LStup, de surcroît aggravée au sens de l’al. 2 let. a de cette disposition au vu de la quantité (plus de 50 grammes de cocaïne pure). Enfin, l’appelant a admis en appel avoir eu connaissance de la présence de la cocaïne dans l’appartement qu’il a finalement reconnu avoir occupé à l’avenue 2______. Cette déclaration pourrait à elle seule emporter un verdict de culpabilité dans la mesure où elle constitue l’admission d’une co-détention de cette drogue. Les analyses ADN effectuées démontrent de surcroît que l’appelant n’était pas simplement le dépositaire ou le détenteur de cette cocaïne, mais qu’il l’a manipulée vraisemblablement à des fins de conditionnement. Son explication selon laquelle elle était destinée à une consommation récréative le soir-même, également nouvelle en appel, est en tout état incompatible avec la quantité en cause (plus de 40 grammes) qui constitue bien plus le stock de son trafic. L’existence de « E______ » apparaît pour le moins douteuse, la police n’ayant retrouvé aucune trace de présence d’un tiers dans l’appartement, même si le consommateur a pour sa part indiqué y avoir rencontré d’autres personnes. En tout état de cause, les éléments recueillis permettent d’imputer la détention de cette cocaïne à l’appelant au-delà de tout doute raisonnable. Le verdict de culpabilité pour infraction grave à la LStup doit ainsi être intégralement confirmé. 2.5.2. L’appelant expose avoir entrepris toutes les démarches pour permettre son renvoi de Suisse. En réalité, il ressort bien plutôt des pièces produites qu’il a certes entrepris des démarches pendant sa détention, manifestement dans le but d’obtenir une libération conditionnelle qui avait été ordonnée sous cette condition ; il n’a toutefois entrepris aucune démarche effective auprès de sa famille, notamment pas au cours de sa détention ni après sa remise en liberté, pour obtenir un document permettant la délivrance du laissez-passer indispensable, faute pour lui de disposer d’un document d’identité. Ses explications à ce sujet n’emportent aucune conviction, dans la mesure où même s’il n’a plus son passeport, il a manifestement des contacts avec son pays. Il a d’ailleurs été autorisé, pendant sa détention dans la présente cause, à effectuer des appels téléphoniques à direction de son pays, ce qui démontre qu’il y a encore des liens. L’appelant n’a jamais obtenu de titre de séjour en Suisse depuis l’échéance de son permis F en 2017. Séjournant dans notre pays depuis plusieurs années, il ne pouvait ignorer la nécessité d’une autorisation pour ce faire, et s’est accommodé de son absence, encourant d’ailleurs en 2018 une condamnation notamment pour séjour illégal ; ses précédentes condamnations pour infraction à la LEI étaient fondées sur l’art. 119 de cette loi. Il ne peut dès lors sérieusement prétendre avoir cru que le report de l’expulsion – mesure pénale – lui conférait un droit de séjour en Suisse de la même durée. Au contraire, la décision de report lui rappelait expressément son obligation d’effectuer les démarches pour quitter le pays. Le report de l’exécution signifiait simplement qu’en raison de la situation de pandémie, une exécution de l’expulsion sous la contrainte n’était pas envisageable. Il ne peut se prévaloir d’une erreur sur l’illicéité. L’appelant se trouve donc bel et bien dans la situation de celui qui ne collabore pas avec l’autorité. La condamnation du chef de séjour illégal sera partant confirmée.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Si, durant le délai d'épreuve, le détenu libéré conditionnellement commet un crime ou un délit, le juge qui connaît de la nouvelle infraction ordonne sa réintégration dans l'établissement (art. 89 al. 1 CP). Si, en raison de la nouvelle infraction, les conditions d’une peine privative de liberté ferme sont réunies et que celle-ci entre en concours avec le solde de la peine devenu exécutoire, le juge prononce une peine d’ensemble en vertu de l’art. 49 CP (art. 89 al. 6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à la différence de l'absorption et du cumul des peines,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w:t>
      </w:r>
    </w:p>
    <w:p>
      <w:r>
        <w:rPr>
          <w:b/>
        </w:rPr>
        <w:t>E. 3.4</w:t>
      </w:r>
    </w:p>
    <w:p>
      <w:r>
        <w:t>En l’espèce, l’appelant ne conteste à raison ni la révocation de sa libération conditionnelle, ni le prononcé d’une peine ferme. En tout état de cause, sa situation personnelle et ses antécédents ne permettant pas le prononcé d’un sursis, au vu du nombre de condamnations qui ne l’ont pas dissuadé de récidiver. Il paraît définitivement réfractaire au respect de l’ordre légal et insensible à la sanction. Le pronostic ne peut qu’être défavorable. Sa faute est importante. Il n’a pas hésité à inciter son principal client à augmenter sa consommation, en se comportant de manière insistante, à la limite du harcèlement, sans égard pour sa santé, et l’amenant à une consommation toujours plus importante, pour pouvoir de son côté augmenter son profit. Il a agi essentiellement par appât du gain facile, sans égard pour la santé d’autrui, soit un mobile égoïste. L’appelant a très mal collaboré à l’enquête et n’a fait preuve d’aucune prise de conscience. Il a nié les faits alors qu’il avait été arrêté en quasi flagrant délit, refusé de fournir les codes d’identification de ses téléphones et cherché tout au long de la procédure à minimiser son rôle. Sa version des faits a varié au fil des auditions ; il est allé jusqu’à soutenir devant la Cour de céans que son coprévenu avait été incité au mensonge par son avocat Les excuses présentées en toute fin des débats d’appel apparaissent de circonstance, et il ne semble pas avoir pris conscience de la gravité des faits reprochés ; ses explications sur les aspects financiers du trafic de stupéfiants démontrent au contraire qu’il considère cette activité comme une activité lucrative ordinaire. Rien ne justifie ni n’explique son comportement. Dans ces circonstances, l’infraction la plus grave est sans contexte le trafic de stupéfiants, qui a porté sur plus de 220 grammes de cocaïne. A eux seuls, ces faits emportent une peine privative de liberté de l’ordre de 20 mois, qui constitue la peine de base et qui doit être aggravée de deux mois (peine théorique : trois mois) pour tenir compte du séjour illégal. Cette peine doit encore être aggravée pour tenir compte de la révocation de la libération conditionnelle, qui entraîne une aggravation de deux mois supplémentaire, pour une peine d’ensemble de deux ans. La Cour de céans étant liée par l’interdiction de la reformatio in peius , la peine privative de liberté de 22 mois prononcée par le premier juge sera ainsi confirmée et l’appel sur ce point rejeté.</w:t>
      </w:r>
    </w:p>
    <w:p>
      <w:r>
        <w:rPr>
          <w:b/>
        </w:rPr>
        <w:t>E. 4</w:t>
      </w:r>
    </w:p>
    <w:p>
      <w:r>
        <w:t>4.1.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Lorsqu'un gain n'est réalisé que partiellement de manière illicite, seul doit être confisqué l'avantage obtenu de manière illégale (ATF 119 IV 145 consid. 3 p. 153). Les dispositions du CP concernant la confiscation de valeurs patrimoniales et de valeurs de remplacement par le prononcé d'une créance compensatrice de l'Etat ne précisent pas si, lors du calcul de la valeur à saisir, la valeur nette (" Nettoprinzip ") ou brute ( "Bruttoprinzip ") doit être retenue. La jurisprudence incline pour la prise en compte d'une valeur brute, mais préconise l'observation du principe général de la proportionnalité (ATF 141 IV 305 consid. 6.3.3 p. 313 ; 124 I 6 consid. 4b/bb p. 8 et suivante avec les références ; arrêts du Tribunal fédéral 6B_56/2010 du 29 juin 2010 consid. 3.2, 6B_697/2009 du 30 mars 2010 consid. 2.2, 6P.236/2006 du 23 mars 2007 consid. 11.3, non publié aux ATF 133 IV 112 ). Ainsi, le Tribunal fédéral a retenu le principe de la recette brute pour, notamment, des comportements généralement interdits, tels que le trafic de stupéfiants (arrêt 6B_986/2008 du 20 avril 2009 consid. 6.1.1), le recel par métier (arrêt 6B_728/2010 du 1 er mars 2011 consid. 4.6) ou le blanchiment d'argent (arrêt 6S.426/2006 du 28 décembre 2006 consid. 5). Par contre, le principe de la recette nette trouve application lors de la commission d'une simple contravention (ATF 141 IV 305 consid. 6.3.3 p. 313 ; 141 IV 317 consid. 5.8.2 p. 326 s. ; 124 I 6 consid. 4b/cc et dd p. 9 ss ; arrêt du Tribunal fédéral 6B_697/2009 du 30 mars 2010 consid. 2.4.1).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Une telle conclusion s'imposera d'autant plus lorsque l'aggravante de la bande (cf. art. 19 al. 2 let. b LStup) ou du métier (cf. art. 19 al. 2 let. c et d LStup) sont réalisées, puisqu'elles tiennent précisément compte d'une pluralité d'infractions à l'art. 19 al. 1 LStup (arrêt du Tribunal fédéral 6B_474/2016 du 6 février 2017 consid. 3.1. et les références, SJ 2017 I 366).</w:t>
      </w:r>
    </w:p>
    <w:p>
      <w:r>
        <w:rPr>
          <w:b/>
        </w:rPr>
        <w:t>E. 4.2</w:t>
      </w:r>
    </w:p>
    <w:p>
      <w:r>
        <w:t>En l’espèce,le prévenu est reconnu coupable d’un trafic de stupéfiants portant sur 80 grammes de cette drogue, vendu au prix de CHF 80.- le gramme, ce qui correspond à un chiffre d’affaires de CHF 6'400.-, ainsi que sur une quantité supplémentaire de 103.7 grammes, ce qui représente plus de CHF 8'240.- et 42.4 grammes retrouvés à son domicile, ce qui représente encore CHF 3'360.-. Son chiffre d’affaires brut s’élève ainsi à CHF 18’000.-, sans compter la vente de MDMA et de cannabis. Compte tenu de la prise en compte d'une valeur brute, et dans la mesure où – dans le respect du principe de proportionnalité – les valeurs correspondantes sont disponibles, la confiscation de l’intégralité des fonds saisis est pleinement justifiée. L’appelant revendique la restitution d’une somme de CHF 4'600.-, correspondant selon lui à son pécule insaisissable, reçu à l’échéance de sa détention au printemps 2020. A cet égard, il convient tout d’abord de relever que ledit pécule ne s’élevait qu’à CHF 3'686.60. Cette somme, une fois restituée à l’appelant et donc remise à sa disposition, a perdu tout caractère insaisissable au sens de la loi fédérale sur la poursuite pour dettes et la faillite (LP), ce dont l’appelant, à juste titre, ne se prévaut d’ailleurs pas. L’appelant justifie, par la restitution de la somme de CHF 4'601.90 en novembre 2020, avoir détenu ce montant à cette période. Il apparaît toutefois qu’il est très vraisemblable, au vu des quantités de drogue saisies au moment de son arrestation, que ces sommes ont été investies dans son trafic, notamment pour financer l’acquisition d’une partie de la drogue vendue dans l’intervalle, voire retrouvée à son domicile. Les valeurs retrouvées lors de la perquisition du domicile de l’appelant l’ont été au salon, sur la table, sans distinction particulière à teneur de l’inventaire dressé qui mentionne que 45.4 grammes bruts de cocaïne et une balance électronique ont été retrouvées sur la même table basse. L’ensemble de ces éléments démontre que l’argent saisi par la police était lié directement au trafic de stupéfiants conduit dans l’appartement de l’avenue 2______, et les éléments apportés par l’appelant n’ébranlent pas ces constatations. L’appel doit dès lors également être rejeté sur ce point.</w:t>
      </w:r>
    </w:p>
    <w:p>
      <w:r>
        <w:rPr>
          <w:b/>
        </w:rPr>
        <w:t>E. 5</w:t>
      </w:r>
    </w:p>
    <w:p>
      <w:r>
        <w:t>5.1.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infraction grave à la LStup (let. o). L’expulsion de l’appelant doit ainsi être prononcée, et ce pour une durée de 20 ans conformément à l’art. 66b CP, puisqu’il a déjà fait l’objet d’une première expulsion. Le fait que celle-ci ait fait l’objet d’une décision de report n’y change rien.</w:t>
      </w:r>
    </w:p>
    <w:p>
      <w:r>
        <w:rPr>
          <w:b/>
        </w:rPr>
        <w:t>E. 5.2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5.3</w:t>
      </w:r>
    </w:p>
    <w:p>
      <w:r>
        <w:t>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w:t>
      </w:r>
    </w:p>
    <w:p>
      <w:r>
        <w:rPr>
          <w:b/>
        </w:rPr>
        <w:t>E. 5.4</w:t>
      </w:r>
    </w:p>
    <w:p>
      <w:r>
        <w:t>En l'espèce, l'appelant, qui n’a aucun lien avec la Suisse, y réside illégalement et fait déjà l’objet d’une première expulsion, ne saurait se prévaloir d’un quelconque cas de rigueur. Il a déclaré vouloir partir ailleurs, sans projet concret. Aucun élément n'indique qu'il serait autorisé à séjourner dans un pays de l’espace Schengen. Par ailleurs, rien ne l'empêche de concrétiser ses projets dans son pays natal. Il peut aussi vivre et travailler hors espace Schengen. Au vu des infractions commises et de la récidive spécifique, l'intérêt de la collectivité à son éloignement durable de l'espace Schengen prime sur son intérêt privé. C'est donc à juste titre que le premier juge a décidé que son expulsion devait être signalée dans le SIS. L'appel sera partant rejeté sur ce point dès lors que la mesure est proportionnée.</w:t>
      </w:r>
    </w:p>
    <w:p>
      <w:r>
        <w:rPr>
          <w:b/>
        </w:rPr>
        <w:t>E. 6</w:t>
      </w:r>
    </w:p>
    <w:p>
      <w:r>
        <w:t>Les motifs ayant conduit le premier juge à prononcer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