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P/22595/2021 vom 6. Mai 2024</w:t>
      </w:r>
    </w:p>
    <w:p>
      <w:r>
        <w:t>GE Cour de justice, 2024-05-06, FR</w:t>
      </w:r>
    </w:p>
    <w:p>
      <w:r>
        <w:rPr>
          <w:b/>
        </w:rPr>
        <w:t xml:space="preserve">Quelle: </w:t>
      </w:r>
      <w:r>
        <w:t>https://mcp.opencaselaw.ch/entscheid/ge_gerichte_P_22595_2021</w:t>
      </w:r>
    </w:p>
    <w:p>
      <w:r>
        <w:t>FR: GE_GERICHTE P/22595/2021 du 6 mai 2024</w:t>
      </w:r>
    </w:p>
    <w:p>
      <w:r>
        <w:t>IT: GE_GERICHTE P/22595/2021 del 6 maggio 2024</w:t>
      </w:r>
    </w:p>
    <w:p>
      <w:pPr>
        <w:pStyle w:val="Heading2"/>
      </w:pPr>
      <w:r>
        <w:t>Regeste</w:t>
      </w:r>
    </w:p>
    <w:p>
      <w:r>
        <w:t>CP.123; CP.126; CP.144; CP.180; LCR.95; LStup.19a</w:t>
      </w:r>
    </w:p>
    <w:p>
      <w:pPr>
        <w:pStyle w:val="Heading2"/>
      </w:pPr>
      <w:r>
        <w:t>Erwägungen</w:t>
      </w:r>
    </w:p>
    <w:p>
      <w:r>
        <w:rPr>
          <w:b/>
        </w:rPr>
        <w:t>E. 6</w:t>
      </w:r>
    </w:p>
    <w:p>
      <w:r>
        <w:t>Il est enfin reproché au prévenu d'avoir consommé des stupéfiants.</w:t>
      </w:r>
    </w:p>
    <w:p>
      <w:r>
        <w:rPr>
          <w:b/>
        </w:rPr>
        <w:t>E. 6.1</w:t>
      </w:r>
    </w:p>
    <w:p>
      <w:r>
        <w:t>Aux termes de l'art. 19a al. 1 de la Loi fédérale sur les stupéfiants et les substances psychotropes du 3 octobre 1951 (LStup ; RS 812.121), quiconque, sans droit, sans droit, consomme intentionnellement des stupéfiants ou commet une infraction à l'art. 19 pour assurer sa propre consommation est passible de l'amende.</w:t>
      </w:r>
    </w:p>
    <w:p>
      <w:r>
        <w:rPr>
          <w:b/>
        </w:rPr>
        <w:t>E. 6.2</w:t>
      </w:r>
    </w:p>
    <w:p>
      <w:r>
        <w:t>En l'occurrence, le prévenu a admis avoir consommé jusqu'en octobre 2021, de manière occasionnelle, de la marijuana, de la MDMA, ainsi que de la cocaïne, soit des produits stupéfiants. En conséquence, le prévenu sera reconnu coupable d'infraction à l'art. 19a ch. 1 LStup. Peine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arrêts du Tribunal fédéral 6B_1406/2016 du 16 octobre 2017 consid. 1.1 à 1.3; 6B_430/2016 du 27 mars 2017 consid. 3.1). 7.3. Selon l'art. 34 CP, sauf disposition contraire, la peine pécuniaire est de trois jours-amende au moins et ne peux excéder 180 jours-amende (al. 1). Le juge fixe le montant du jour-amende selon la situation personnelle et économique de l'auteur au moment du jugement, notamment en tenant compte de son revenu et de sa fortune, de son mode de vie, de ses obligations d'assistance, en particulier familiales, et du minimum vital (al. 2). 7.4. Selon l'art. 106 al. 1 CP,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(al. 2). 7.5. La faute du prévenu est importante. Il s'en est pris à divers biens juridiques protégés, en particulier à l'intégrité physique, au patrimoine et à l'honneur d'autrui. La période pénale est brève et s'étend sur plusieurs mois. Les mobiles du prévenu sont futiles et égoïstes, dès lors qu'il a agi en raison d'un tempérament colérique mal maîtrisé et d'une fierté mal placée. Sa situation personnelle ne saurait excuser ses agissements envers celle qui était sa compagne et l'enfant de cette dernière. Sa collaboration doit être qualifiée de très médiocre dans la mesure où il n'a pas contesté l'essentiel des faits, en particulier la dispute du 23 août 2021. Il s'est cependant positionné en victime, alléguant qu'il n'avait fait que de se défendre car A______ l'avait saisi par le bras. Il ne s'est pas présenté aux audiences du Ministère public, ni à l'audience de jugement, convoquée à deux reprises. Il n'a manifesté aucune prise de conscience, ni présenté de réelles excuses pour son comportement. Il y a concours d'infraction, facteur aggravant. Aucune circonstance atténuante n'est réalisée. Le prévenu a un antécédent judiciaire, mais qui n'est pas spécifique. Au vu de ce qui précède, le prévenu sera condamné à une peine pécuniaire de 120 jours-amende, le jour-amende étant fixé à CHF 80.-. Les conditions du sursis sont réalisées. Un délai d'épreuve de 3 ans sera fixé. Il se justifie d'infliger au prévenu une amende à titre de sanction immédiate, vu le niveau encore limité de sa prise de conscience. Cette amende sera fixée à CHF 1'920.-. Le prévenu sera mis à l'amende pour la contravention à l'art. 19a LStup. Le montant de l'amende requis par l'accusation est trop important, au vu de la faute commise. Au vu de l'ensemble des circonstances, une peine de CHF 500.- apparait correcte pour sanctionner le comportement du prévenu. Action civile 8.1.1.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L'art. 126 al. 2 let. b CPP prévoit quant à lui que le juge renvoie la partie plaignante à agir par la voie civile lorsque la partie plaignante n'a pas chiffré ses conclusions de manière suffisamment précise ou ne les a pas suffisamment motivées. 8.1.2. A teneur de l'art. 41 al. 1 du code des obligations du 30 mars 2011 (CO ; RS 220), chacun est tenu de réparer le dommage qu'il cause à autrui d'une manière illicite, soit intentionnellement, soit par négligence ou imprudence. La preuve du dommage incombe au demandeur (art. 42 al. 1 CO). 8.1.3. L'art. 49 CO dispose que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des préjudices psychiques importants (arrêts du Tribunal fédéral 6B_447/2014 du 30 octobre 2014 consid. 6.1; 6B_345/2012 du 9 octobre 2012 consid. 3.1; 6B_970/2010 du 23 mai 2011 consid. 1.1.2 et les références citées), ainsi que le genre et la gravité de la lésion, l'intensité et la durée des répercussions sur la personnalité de la personne concernée, le degré de la faute de l'auteur, ainsi que l'éventuelle faute concomitante du lésé (ATF 141 III 97 consid. 11.2). 8.2. En l'espèce, le Tribunal ne doute pas qu'A______ et B______ ont été affectés psychologiquement par les faits dénoncés. A______ a fait l'objet d'un suivi psychologique hebdomadaire, à tout le moins entre le 1 er septembre 2021 et le 19 octobre 2022. B______ a exposé qu'après le départ du prévenu du domicile, il avait dormi au salon durant un an et demi de peur que ce dernier ne revienne durant la nuit. Il avait toujours peur du noir et avait des difficultés scolaires. A______ n'a toutefois pas objectivé ses souffrances, ni indiqué si elle faisait toujours l'objet d'un suivi thérapeutique. L'unique certificat médical du 19 octobre 2022, établi par sa psychologue, ne permet pas d'établir la gravité objective de l'atteinte et de se convaincre de la souffrance morale mise en avant. Les frais médicaux non couverts par l'assurance-maladie ne sont pas non plus démontrés. La plaignante a produit des " factures de psychothérapie " peu lisibles, qui ne permettent pas de conclure que la somme totale de CHF 1'358.15 aurait été mise à sa charge. S'agissant d'B______, aucune pièce médicale ne vient étayer que les problèmes de santé allégués seraient en lien avec les faits pour lesquels le prévenu a été condamné. Au vu de ce qui précède, faute d'étayer ses prétentions et de suffisamment les motiver, A______ sera renvoyée à agir par-devant le juge civil. Confiscation</w:t>
      </w:r>
    </w:p>
    <w:p>
      <w:r>
        <w:rPr>
          <w:b/>
        </w:rPr>
        <w:t>E. 9</w:t>
      </w:r>
    </w:p>
    <w:p>
      <w:r>
        <w:t>En application des art. 69 et 70 CP, le Tribunal ordonnera les confiscations nécessaires, qui portera sur le flacon contenant une poudre blanche indéterminée saisi le 27 juin 2023. Frais et indemnités</w:t>
      </w:r>
    </w:p>
    <w:p>
      <w:r>
        <w:rPr>
          <w:b/>
        </w:rPr>
        <w:t>E. 10</w:t>
      </w:r>
    </w:p>
    <w:p>
      <w:r>
        <w:t>Vu sa condamnation, le prévenu devra supporter les frais de la procédure, qui s'élèvent à CHF 1'778.-, y compris un émolument de jugement de CHF 9.- (art. 426 al. 1 CPP et 9 al. 1 let. d RTFMP). 11.1.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11.2. En l'espèce, la condamnation prononcée à l'encontre du prévenu et la mise à sa charge des frais de la procédure ouvrent la voie à l'indemnisation de la plaignante en rapport avec ses frais de défense. La plaignante a sollicité un montant total de CHF 12'183.20, TVA comprise, correspondant à l'activité de son Conseil déployée du 17 novembre 2021 au 18 mars 2024, qui ne prête pas le flanc à la critique. Ce montant sera mis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