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P/22561/2017 vom 22. Mai 2019</w:t>
      </w:r>
    </w:p>
    <w:p>
      <w:r>
        <w:t>GE Cour de justice, 2019-05-22, FR</w:t>
      </w:r>
    </w:p>
    <w:p>
      <w:r>
        <w:rPr>
          <w:b/>
        </w:rPr>
        <w:t xml:space="preserve">Quelle: </w:t>
      </w:r>
      <w:r>
        <w:t>https://mcp.opencaselaw.ch/entscheid/ge_gerichte_P_22561_2017</w:t>
      </w:r>
    </w:p>
    <w:p>
      <w:r>
        <w:t>FR: GE_GERICHTE P/22561/2017 du 22 mai 2019</w:t>
      </w:r>
    </w:p>
    <w:p>
      <w:r>
        <w:t>IT: GE_GERICHTE P/22561/2017 del 22 maggio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novembre 2009 consid. 2.1).</w:t>
      </w:r>
    </w:p>
    <w:p>
      <w:r>
        <w:rPr>
          <w:b/>
        </w:rPr>
        <w:t>E. 3</w:t>
      </w:r>
    </w:p>
    <w:p>
      <w:r>
        <w:t>3.1. L'art. 19 al. 1 réprime notamment le comportement de celui qui, sans droit, entrepose, expédie, transporte, importe, exporte des stupéfiants ou les passe en transit (let. b) ; possède, détient ou acquiert des stupéfiants ou s'en procure de toute autre manière (let. d) ; ou de celui qui prend des mesures aux fins de commettre une des infractions visées aux let. a à f (let. g). Les actes visés par l'art. 19 al. 1 let. a à f de la loi fédérale sur les stupéfiants et les substances psychotropes du 3 octobre 1951 (LStup ; RS 812.121)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L'art. 19 al. 1 let. g LStup permet de réprimer les actes préparatoires effectués par l'auteur aux fins de commettre l'une des infractions prévues à l'art. 19 ch. 1 let. a à f LStup. Le législateur a érigé en infraction distincte, punissable de la même manière que les autres actes prohibés, toutes les formes de tentatives (art. 22 et 23 CP) et certains actes antérieurs mais caractéristiques de la préparation d'une infraction à l'art. 19 al. 1 LStup (B. CORBOZ, Les infractions en droit suisse, vol. II, 3e éd., Berne 2010 , n. 60 p. 909). Il faut encore que l'auteur projette d'accomplir lui-même l'une des infractions prévues aux lettres a à f en tant qu'auteur ou coauteur (ATF 130 IV 131 consid. 2.2.2).</w:t>
      </w:r>
    </w:p>
    <w:p>
      <w:r>
        <w:rPr>
          <w:b/>
        </w:rPr>
        <w:t>E. 3.2</w:t>
      </w:r>
    </w:p>
    <w:p>
      <w:r>
        <w:t>En l'espèce,E______ a admis avoir participé à un trafic de stupéfiants entre H______ et un dénommé D______, auquel elle devait livrer, le 3 novembre 2017, plus de 3kg de marijuana, ainsi qu'une pièce d'identité portugaise établie au nom de A______, revendiquée par l'appelant comme étant la sienne. Or, à teneur des déclarations de E______, la photo figurant sur ladite pièce d'identité était celle de D______, auquel elle avait livré de la drogue à au moins trois autres reprises dans le courant de l'année 2017. Se pose alors la question de savoir si l'appelant est le dénommé D______ et, partant, le récipiendaire de la drogue. Bien que E______ n'ait pas été en mesure d'affirmer, lors de l'audience de confrontation, que tel était le cas, elle ne l'a pas non plus nié. Ses explications selon lesquelles qu'elle ne parvenait pas à se rappeler de son visage car elle n'avait vu le destinataire de la drogue qu'à trois reprises, la nuit, n'emportent par conviction. Il semble en revanche plausible qu'elle ait pu se sentir intimidée par l'appelant lors de l'audience de confrontation, d'autant qu'il est un ami de son amant, H______, fournisseur de la drogue. Quoiqu'il en soit, E______ a, dès sa première audition au Ministère public, formelle-ment reconnu D______ sur la photo figurant sur la pièce d'identité établie au nom de l'appelant - que ce dernier a d'ailleurs désigné comme étant la sienne - et n'est jamais revenue sur ses déclarations. Au surplus, il sied de relever qu'en plus de leur ressemblance physique, les similitudes sont nombreuses entre A______ et le dénommé D______, dès lors que tous deux ont vécu en Gambie, puis en Suisse, qu'ils sont amis avec H______ et que le prénom du second ressemble étrangement à un diminutif du prénom adopté par le premier pour sa demande d'asile (I______). A cela s'ajoute que l'appelant a été interpellé quelques mois après la livraison ratée de novembre 2017, alors qu'il se rendait à G______, soit précisément le lieu où réside le fournisseur de la drogue, en possession d'une somme d'argent conséquente, ce qui correspond au modus operandi décrit par E______, soit le fait que l'argent ne transitait pas par elle, mais directement entre les deux hommes. L'implication de l'appelant dans ce trafic de stupéfiants est d'autant plus évidente qu'il a refusé de justifier la provenance de cet argent, alors qu'il est sans emploi et ne perçoit, à teneur de la procédure, aucune indemnité chômage ni revenu quelconque. Enfin, l'appelant n'est pas crédible lorsqu'il explique, pour la première fois lors de l'audience d'appel, qu'il travaillait sur des chantiers à J______ le 3 novembre 2017, ce d'autant qu'il s'est montré incapable d'étayer son alibi de quelque manière que ce soit. Au vu de l'ensemble de ces éléments, la CPAR considère qu'il existe un fort faisceau d'indices convergents qui permet de retenir les faits reprochés à l'appelant comme établis. L'appel sera par conséquent rejeté et le jugement querellé confirmé.</w:t>
      </w:r>
    </w:p>
    <w:p>
      <w:r>
        <w:rPr>
          <w:b/>
        </w:rPr>
        <w:t>E. 4</w:t>
      </w:r>
    </w:p>
    <w:p>
      <w:r>
        <w:t>4.1.1. L'art. 19 al. 1 LStup prévoit le prononcé d'une peine privative de liberté de trois ans au plus ou d'une peine pécuniaire 4.2.1. À l'aune de l'art. 2 CP, la réforme du droit des sanctions entrée en vigueur le 1 er janvier 2018 marque un durcissement du droit des sanctions et est ainsi, en principe, moins favorable à la personne condamnée (M. DUPUIS / L. MOREILLON / C. PIGUET / S. BERGER / M. MAZOU / V. RODIGARI [éds], Code pénal - Petit commentaire, 2e éd ., Bâle 2017, Rem. prél., n. 6 ad art. 34 à 41 CP). 4.2.2. En l'espèce, il sera fait application du droit en vigueur jusqu'au 31 décembre 2017, les actes reprochés ayant été commis sous l'empire de ce droit, et le nouveau droit des sanctions n'apparaissant pas plus favorable au prévenu. 4.3.1.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4.3.2. Selon l'art. 34 al. 1 aCP, la peine pécuniaire ne peut excéder 360 jours-amende ;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4.3.3. Aux termes de l'art. 42 al. 1 CP, le juge suspend en règle générale l'exécution d'une peine privative de liberté de six mois au moins et de deux ans au plus lorsqu'une peine ferme ne paraît pas nécessaire pour détourner l'auteur d'autres crimes ou délits.</w:t>
      </w:r>
    </w:p>
    <w:p>
      <w:r>
        <w:rPr>
          <w:b/>
        </w:rPr>
        <w:t>E. 4.4</w:t>
      </w:r>
    </w:p>
    <w:p>
      <w:r>
        <w:t>En l'occurrence, la faute de l'intimé est d'une gravité moyenne, celui-ci s'étant livré à un trafic de stupéfiants, ce qui témoigne d'un mépris persistant de la législation en vigueur, au vu de son antécédent spécifique, pour lequel il a été condamné, sous une autre identité, moins d'une année avant les faits. Ses mobiles sont égoïstes relevant de l'appât du gain facile. Sa collaboration a été inexistante. Il s'est obstiné à nier son implication sur la base d'explications peu plausibles et malgré les éléments de preuves recueillis, ce qui démontre une absence totale de prise de conscience du caractère illégal de ses activités. La situation personnelle de l'appelant ne saurait justifier ses actes. Au vu de ce qui précède, la peine pécuniaire de 180 jours-amende à CHF 30.- l'unité prononcée par le premier juge, laquelle n'est pas contestée en tant que telle, ni sur son principe, ni dans sa quotité, est appropriée et sera confirmée. Quant au sursis, il est acquis à l'appelant.</w:t>
      </w:r>
    </w:p>
    <w:p>
      <w:r>
        <w:rPr>
          <w:b/>
        </w:rPr>
        <w:t>E. 5</w:t>
      </w:r>
    </w:p>
    <w:p>
      <w:r>
        <w:t>5.1.1.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5.1.2. 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AT II, 2e éd., Berne 2006, § 13, n. 86 ; M. VOUILLOZ, Le nouveau droit suisse de la confiscation pénale et de la créance compensatrice , art. 69 à 73 CP, PJA 2007 p. 1388 et 1391). Dès lors qu'il s'agit d'une mesure qui porte gravement atteinte à la propriété, elle doit respecter le principe de la proportionnalité (ATF 125 IV 185 consid. 2a ; ATF 116 IV 117 consid. 2a).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6S_79/2006 du 24 mai 2006 consid. 3). 5.1.3. Il doit également exister un rapport de connexité entre l'infraction et les valeurs patrimoniales à confisquer. L'infraction doit ainsi être la cause essentielle et adéquate de l'obtention des valeurs patrimoniales et celles-ci doivent typiquement provenir de l'infraction en question.Il doit donc exister, entre l'infraction et l'obtention des valeurs patrimoniales, un lien de causalité tel que la seconde apparaisse comme la conséquence directe et immédiate de la première (ATF 129 II 453 consid. 4.1). C'est en particulier le cas lorsque l'obtention des valeurs patrimoniales est un élément objectif ou subjectif de l'infraction ou lorsqu'elle constitue un avantage direct découlant de la commission de l'infraction (ATF 129 IV 453 consid. 4.1 ; arrêt du Tribunal fédéral 1B_185/2007 du 30 novembre 2007 consid. 9). 5.1.4. Dans le domaine des stupéfiants, la question de la preuve du rapport de connexité doit s'appréhender à l'aune du fait que l'art. 19 LStup ne réprime pas globalement le "trafic de stupéfiants",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 justifier l'origine de fonds rendus suspects par d'autres éléments probants -, que les valeurs patrimoniales en cause sont le résultat d'un trafic appréhendé dans sa globalité (arrêt du Tribunal fédéral 6B_474/2016 du 6 février 2017 consid. 3.1 et les références citées).</w:t>
      </w:r>
    </w:p>
    <w:p>
      <w:r>
        <w:rPr>
          <w:b/>
        </w:rPr>
        <w:t>E. 5.2</w:t>
      </w:r>
    </w:p>
    <w:p>
      <w:r>
        <w:t>En l'espèce, l'appelant a été interpellé le 9 juin 2018 en possession d'EUR 8'555.64 et CHF 33.40. Il a refusé de dévoiler la provenance de ces espèces, se contentant d'affirmer que celles-ci n'avaient rien à voir avec le trafic de stupéfiants. Force est cependant de constater que l'appelant, qui est sans emploi, s'adonnait à un trafic de stupéfiants et a réceptionné, à au moins trois reprises en 2017, plusieurs kilos de marijuana de la part de H______. Il est également établi que l'appelant ne versait pas d'argent à E______ en échange de la drogue, mais s'arrangeait directement avec H______, selon " leur propre circuit ". Or il ressort de la procédure que l'appelant a été interpellé alors qu'il prenait l'avion pour G______, soit précisément le lieu de résidence de H______, et qu'il a refusé de fournir une quelconque explication quant à la raison de son séjour en Espagne. Au vu de ces éléments, la CPAR considère qu'il existe un faisceau d'indices convergents permettant d'établir que ces espèces sont bien le produit du trafic de stupéfiants auquel s'adonnait l'appelant de sorte que leur confiscation et leur dévolution à l'Etat sera confirmée.</w:t>
      </w:r>
    </w:p>
    <w:p>
      <w:r>
        <w:rPr>
          <w:b/>
        </w:rPr>
        <w:t>E. 6</w:t>
      </w:r>
    </w:p>
    <w:p>
      <w:r>
        <w:t>6.1.1. Les mesures de contrainte ne peuvent être prises que si elles sont prévues par la loi ou si des soupçons suffisants laissent présumer une infraction (art. 197 al. 1 let. a et b CPP). A teneur de l'art. 263 al. 1 CPP, des objets appartenant au prévenu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Selon l'art. 267 al. 3 CPP, il est statué dans la décision finale sur la restitution à l'ayant droit des objets séquestrés qui n'ont pas été libérés auparavant, ainsi que sur leur utilisation pour couvrir les frais et leur confiscation. 6.1.2.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Comme déjà rappelé, il doit y avoir un lien de connexité entre l'objet à confisquer et l'infraction, en ce sens que celui-ci doit avoir servi ou devait servir à la commission d'une infraction ( instrumenta sceleris ) ou être le produit d'une infraction ( producta sceleris ). En outre, l'objet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6.2.1. L'appelant, dont il a été retenu plus haut qu'il est connu sous le diminutif de D______, a déposé une demande d'asile, sous l'identité de I______, ressortissant Malien, démarche notoirement peu susceptible d'aboutir et assurément moins aisée que celle consistant à se prévaloir pour entrer et demeurer en Suisse de la nationalité d'un Etat membre de l'Union européenne. Par ailleurs, il n'a documenté aucun lien avec le Portugal et est manifestement incapable de s'exprimer dans sa supposée langue maternelle. Dans ces circonstances, on pourrait, avec le premier juge, nourrir quelque soupçon quant aux circonstances dans lesquelles l'intéressé a été mis au bénéfice de documents d'identité de portugais. Cependant il reste que sa carte d'identité est apparemment authentique, les autorités de police ayant estimé qu'elle pouvait rester dans ses effets personnels lors de son arrestation, à l'aéroport. Par ailleurs, cette carte d'identité a manifestement été émise suite à une annonce de disparition de celle saisie en main de E______, dont elle porte le même numéro principal suivi d'une seconde série différente, ce qui signifie que les autorités portugaises ont à au moins deux reprises accepté de lui délivrer un tel document. Les soupçons qui persistent ne sont pas suffisants pour justifier le séquestre de la carte d'identité que l'appelant portait sur lui lors de son arrestation laquelle pourra donc lui être restituée, sous réserve de ce qui suit. 6.2.2. Le premier juge a retenu que la carte d'identité saisie sur E______ pourrait aussi être restituée à l'appelant " sous réserve qu'il s'agisse bien d'un document authentique et qu'il en est bien l'ayant-droit légitime ". Or, nul ne saurait posséder deux cartes d'identité. D'ailleurs, cette carte a nécessairement été signalée comme disparue puis annulée à l'occasion de l'émission du nouveau document d'identité. Elle doit donc plutôt être remise aux autorités consulaires portugaises. Une modification du dispositif du jugement sur ce point ne viole pas le principe de l'interdiction de la reformatio in pejus puisque ce n'est qu'à condition que la première carte soit mise hors d'état de circuler que la seconde peut être restituée à l'appelant, comme il le requiert. Celui-ci a d'ailleurs confirmé qu'il ne demandait que la restitution du [second] document, tenant le précédent pour " caduc ".</w:t>
      </w:r>
    </w:p>
    <w:p>
      <w:r>
        <w:rPr>
          <w:b/>
        </w:rPr>
        <w:t>E. 6.2</w:t>
      </w:r>
    </w:p>
    <w:p>
      <w:r>
        <w:t>.3. L'appel est ainsi partiellement admis et le jugement modifié en ce sens que la carte d'identité portugaise numéro 3______ établie au nom de A______, né le ______ 1995, valable jusqu'au 2 mars 2021 portée à l'inventaire du 3 novembre 2017 est transmise aux autorités consulaires portugaises et que la carte d'identité portugaise no 4______ établie au nom de A______, né le ______ 1995 valable jusqu'au 10 novembre 2022, se trouvant précédemment au dépôt de l'intéressé à la prison et désormais auprès du Greffe des pièces à convictions, lui est restituée.</w:t>
      </w:r>
    </w:p>
    <w:p>
      <w:r>
        <w:rPr>
          <w:b/>
        </w:rPr>
        <w:t>E. 7</w:t>
      </w:r>
    </w:p>
    <w:p>
      <w:r>
        <w:t>. L'appelant, succombe sur le point principal, qui est celui de sa culpabilité. Aussi, les frais de la procédure envers l'État (art. 428 CPP), comprenant un émolument d'arrêt de CHF 2'000.- (art. 14 al. 1 let. e du règlement fixant le tarif des frais en matière pénale, du 22 décembre 2010 [RTFMP ; RS-GE E 4 10.03]) seront mis à sa charge par trois quarts, le solde étant laissé à celle de l'Etat. Il n'y a pas lieu de revoir la répartition des frais de première instance, sauf en ce qui concerne l'émolument de motivation, mis à sa charge dans la même mesure.</w:t>
      </w:r>
    </w:p>
    <w:p>
      <w:r>
        <w:rPr>
          <w:b/>
        </w:rPr>
        <w:t>E. 8</w:t>
      </w:r>
    </w:p>
    <w:p>
      <w:r>
        <w:t>Considéré globalement, l'état de frais produit par le défenseur d'office de l'appelant paraît adéquat et conforme aux dispositions et principes régissant l'assistance judiciaire pénale. Sa rémunération sera ainsi arrêtée à CHF 1'489.95 pour cinq heures et 50 minutes d'activité au tarif de CHF 200.-/heure, plus la majoration forfaitaire de 10% [CHF 116.70] eu égard à l'activité déployée en première instance, la vacation [CHF 100.-] et l'équivalent de la TVA au taux de 7.7% [CHF 106.55].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