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P/22504/2023 vom 17. Dezember 2025</w:t>
      </w:r>
    </w:p>
    <w:p>
      <w:r>
        <w:t>GE Cour de justice, 2025-12-17, FR</w:t>
      </w:r>
    </w:p>
    <w:p>
      <w:r>
        <w:rPr>
          <w:b/>
        </w:rPr>
        <w:t xml:space="preserve">Quelle: </w:t>
      </w:r>
      <w:r>
        <w:t>https://mcp.opencaselaw.ch/entscheid/ge_gerichte_P_22504_2023</w:t>
      </w:r>
    </w:p>
    <w:p>
      <w:r>
        <w:t>FR: GE_GERICHTE P/22504/2023 du 17 décembre 2025</w:t>
      </w:r>
    </w:p>
    <w:p>
      <w:r>
        <w:t>IT: GE_GERICHTE P/22504/2023 del 17 dicembre 2025</w:t>
      </w:r>
    </w:p>
    <w:p>
      <w:pPr>
        <w:pStyle w:val="Heading2"/>
      </w:pPr>
      <w:r>
        <w:t>Regeste</w:t>
      </w:r>
    </w:p>
    <w:p>
      <w:r>
        <w:t>IN DUBIO PRO REO;DISPOSITIONS PÉNALES DE LA LARM;NÉGLIGENCE;ERREUR SUR LES FAITS(DROIT PÉNAL);ERREUR DE DROIT(DROIT PÉNAL);FIXATION DE LA PEINE;CONCOURS D'INFRACTIONS;INTENTION | LArm.33; LArm.34; LArm.4; LArm.5; CP.12; CP.13; CP.21; CP.47; CP.49; CP.52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ne se justifie pas de revenir sur les mesures de destruction ordonnées, qui ne sont pas contestées en appel et qui consacrent une correcte application du droit (art. 404 al. 1 CPP).</w:t>
      </w:r>
    </w:p>
    <w:p>
      <w:r>
        <w:rPr>
          <w:b/>
        </w:rPr>
        <w:t>E. 5</w:t>
      </w:r>
    </w:p>
    <w:p>
      <w:r>
        <w:t>L'appelante, qui succombe intégralement, supportera les frais de la procédure d'appel, lesquels comprennent un émolument d'arrêt de CHF 1'000.- (art. 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