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P/2243/2024 vom 10. September 2025</w:t>
      </w:r>
    </w:p>
    <w:p>
      <w:r>
        <w:t>GE Cour de justice, 2025-09-10, FR</w:t>
      </w:r>
    </w:p>
    <w:p>
      <w:r>
        <w:rPr>
          <w:b/>
        </w:rPr>
        <w:t xml:space="preserve">Quelle: </w:t>
      </w:r>
      <w:r>
        <w:t>https://mcp.opencaselaw.ch/entscheid/ge_gerichte_P_2243_2024</w:t>
      </w:r>
    </w:p>
    <w:p>
      <w:r>
        <w:t>FR: GE_GERICHTE P/2243/2024 du 10 septembre 2025</w:t>
      </w:r>
    </w:p>
    <w:p>
      <w:r>
        <w:t>IT: GE_GERICHTE P/2243/2024 del 10 settembre 2025</w:t>
      </w:r>
    </w:p>
    <w:p>
      <w:pPr>
        <w:pStyle w:val="Heading2"/>
      </w:pPr>
      <w:r>
        <w:t>Regeste</w:t>
      </w:r>
    </w:p>
    <w:p>
      <w:r>
        <w:t>REJET DE LA DEMANDE;PROFILAGE RACIAL | LEI.115; CP.244; CP.286; CP.40; CP.34</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À teneur de l'art. 40 al. 1 CP, la durée minimale de la peine privative de liberté est de trois jours ; elle peut être plus courte si la peine privative de liberté est prononcée par conversion d’une peine pécuniaire (art. 36 CP) ou d’une amende non payées (art. 106 CP). 4.1.4. Selon l'art. 34 al. 1 CP, sauf disposition contraire, la peine pécuniaire est de trois jours-amende au moins et ne peut excéder 180 jours-amende. Le juge fixe leur nombre en fonction de la culpabilité de l’auteur.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 4.1.5.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4.1.6.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Si elles ne sont réalisées qu'en instance de jugement, un verdict de culpabilité est rendu, mais dépourvu de sanction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telles que les antécédents, la situation personnelle ou le comportement de l’auteur après l’infraction (ATF 135 IV 130 consid. 5.4). 4.2.1. La faute de l'appelant n'est pas anodine dans la mesure où il a porté atteinte à divers biens juridiquement protégés. Il y a concours d'infractions, ce qui justifie une augmentation de la peine dans une juste proportion, et cumul d'infractions punissables de peines de genre différent. L'appelant a agi pour des mobiles égoïstes, tentant d'obtenir une prestation sexuelle au moyen de la mise en circulation d'un billet contrefait ou en s'opposant à son interpellation, soit encore par convenance personnelle s'agissant du séjour illégal. D'une manière générale, le comportement de l'appelant dénote un mépris pour les règles et interdits en vigueur que la précarité de sa situation personnelle en Suisse ne saurait justifier, ni complètement expliquer. La collaboration de l'appelant à la procédure ne peut pas être qualifiée de bonne, contrairement à ce qu'a retenu le premier juge. S'il a admis séjourner illégalement en Suisse, ce qu'il ne pouvait que difficilement contester, il a en revanche nié avoir voulu mettre en circulation de la fausse monnaie, de même que s'être opposé à son interpellation. Il n'a présenté ni excuses, ni repentir, de sorte qu'il n'a manifestement pas pris conscience de la portée de ses agissements. L'appelant ne saurait prétendre au bénéfice de l'exemption de peine pour le séjour illégal. D'une part, la période pénale s'étend sur plusieurs mois et, d'autre part, il a divers antécédents spécifiques. La gravité de sa faute n'apparaît dès lors pas à ce point de peu d'importance, pas plus que les conséquences de la perpétuation de cet état de fait, qu'il se justifierait de renoncer au prononcé de toute peine. Pour le surplus, au-delà de l'exemption de peine et des acquittements sollicités, l'appelant ne remet en cause ni le type des peines prononcées à son encontre, ni leur quotité. L'infraction objectivement la plus grave est celle à l'art. 244 CP, qui justifierait, à elle-seule, le prononcé d'une peine privative de liberté de 40 jours, augmentée de 20 jours (peine hypothétique de 30 jours) pour sanctionner le séjour illégal, ce qui porte la peine privative de liberté à 60 jours. Ainsi, en vertu du principe de l'interdiction de la reformatio in pejus, la peine privative de liberté de 30 jours fixée par le TP sera confirmée, à l'instar de la déduction des jours de détention avant jugement. Il en ira de même de la peine pécuniaire de dix jours-amende, à CHF 10.- l'unité, sanctionnant l'empêchement d'accomplir un acte officiel, de même que de la renonciation à la révocation du sursis du 31 mars 2023, laquelle est acquise à l'appelant. Au vu des antécédents de ce dernier, qui conduisent à poser un pronostic défavorable quant à son comportement futur, c'est à juste titre que le TP a prononcé des peines fermes.</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2.2</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2.3.1. Selon l'art. 215 al. 1 CPP, afin d'élucider une infraction, la police peut appréhender une personne et, au besoin, la conduire au poste dans les buts d'établir son identité (let. a), de l'interroger brièvement (let. b), de déterminer si elle a commis une infraction (let. c) ou de déterminer si des recherches doivent être entreprises à son sujet ou au sujet d'objets se trouvant en sa possession (let. d).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La police est tenue d'arrêter provisoirement et de conduire au poste toute personne qu'elle a surprise en flagrant délit de crime ou de délit ou qu'elle a interceptée immédiatement après un tel acte ou qui est signalée (art. 217 al. 1 let. a et let. b CPP). 2.3.2. Selon l'art. 45 al. 1 de la loi genevoise sur la police (LPol), celle-ci exerce ses tâches dans le respect des droits fondamentaux et des principes de légalité, de proportionnalité et d'intérêt public. L'art. 47 LPol permet aux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 2.3.3. La Cour Européenne des Droits de l'Homme (CourEDH) a récemment condamné la Suisse pour profilage racial, en violation des art. 8 et 14 CEDH (arrêt CourEDH Wa Baile contre Suisse du 20 février 2024, réquisitions n° 43868/18 et 25883/21). Le cas traité concernait un Suisse d'origine kenyane qui avait été contrôlé et fouillé en 2015 par la police dans la gare de Zurich alors qu'il n'existait aucun soupçon d'infraction. Ayant refusé de présenter ses documents d'identités,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que la Suisse n'était pas parvenue à réfuter (le gouvernement alléguait que d'autres individus avaient été contrôlés ce jour-là sans indiquer le nombre d'interpellation ou des détails pertinents à ce sujet ; inexistence de données statistiques) (§127 à 136). Elle a également conclu à la violation de l'art. 13 CEDH en lien avec les articles précités, le requérant n'ayant pas bénéficié devant les instances internes d'une voie de recours effectif par laquelle il pouvait faire valoir son grief de traitement discriminatoire lors de son contrôle d'identité et sa fouille, aucune instance ni pénale ni administrative n'ayant examiné le grief fondé sur la couleur de peau (§145 à 147). 2.3.4. Dans l'arrêt 7B_102/2024 du 11 mars 2024, visant le cas d'un ressortissant guinéen contrôlé, sans motif concret, par la police dans un tram à Genève, le Tribunal fédéral (TF) a reconnu que la fouille du téléphone portable de l'intéressé dans la foulée s'apparentait à une "fishing expedition". Cette mesure était, en l'espèce, disproportionnée et, dépassant le cadre de l'art. 215 CPP, elle était soumise à l'exigence d'un mandat, selon l'art. 241 al. 1 CPP. Il n'y avait en particulier aucun indice, au moment de son interpellation, d'un lien du prévenu avec un trafic de cocaïne contre lequel était dirigée l'opération C______ (cette opération étant "destinée spécifiquement à déstabiliser les réseaux de trafiquants de cocaïne en procédant à des contrôles en divers lieux du canton, soit une mission clairement d'intérêt, de sécurité et de santé publics", les policiers étant "formés pour identifier divers signes laissant penser qu'une personne pourrait s'adonner au trafic, signes qui peuvent être liés au comportement général d'une personne, à un état de stress et à tout autre élément pertinent relevant des techniques policières (...) " [consid. 2.5.2]). Le TF a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w:t>
      </w:r>
    </w:p>
    <w:p>
      <w:r>
        <w:rPr>
          <w:b/>
        </w:rPr>
        <w:t>E. 2.4</w:t>
      </w:r>
    </w:p>
    <w:p>
      <w:r>
        <w:t>Quiconque empêche une autorité, un membre d'une autorité ou un fonctionnaire de faire un acte entrant dans ses fonctions est puni d'une peine pécuniaire de 30 jours-amende au plus (art. 286 al. 1 CP).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La réalisation de l'infraction requiert l'intention, étant précisé que le dol éventuel suffit (arrêt du Tribunal fédéral 7B_71/2023 du 8 mai 2024 consid. 4.2). La légalité matérielle de l'acte officiel n'est pas une condition de l'application de l'art. 286 CP. Le juge pénal n'a pas à contrôler la légalité ou l'opportunité de l'acte, sauf s'il apparaît un vice manifeste et grave qui permet de dire d'emblée que l'autorité ou le fonctionnaire était sorti du cadre de sa mission ou que son acte était nul (arrêts du Tribunal fédéral 6B_1276/2023 du 13 novembre 2024 consid. 5.1 ; 6B_89/2019 du 17 mai 2019 consid. 1.1.1).</w:t>
      </w:r>
    </w:p>
    <w:p>
      <w:r>
        <w:rPr>
          <w:b/>
        </w:rPr>
        <w:t>E. 2.5</w:t>
      </w:r>
    </w:p>
    <w:p>
      <w:r>
        <w:t>L'art. 244 al. 1 CP réprime le comportement de quiconque importe, acquiert ou prend en dépôt des pièces de monnaie, du papier-monnaie ou des billets de banque faux ou falsifiés, dans le dessein de les mettre en circulation comme authentiques ou comme intacts. L'importation, l'acquisition et la prise en dépôt de fausse monnaie (tout comme la fabrication) sont trois actes préparatoires à la mise en circulation, soit à une tromperie collective et individuelle​. La mise en circulation effective n’est pas nécessaire ; le seul dessein suffit (J. CHAPUIS / J.-L. BACHER, Commentaire romand, Code pénal II, vol. II, Partie spéciale, art. 111-392 CP, Bâle 2017, n. 2 ad art. 244 CP). Le Code pénal protège également les monnaies et billets de banque étrangers (art. 250 CP). Est fausse, une monnaie qui n'émane pas de l’institut d’émission autorisé, soit une monnaie contrefaite ou falsifiée (J. CHAPUIS / J.-L. BACHER, op. cit., n. 4 ad art. 244 CP). En ce qui concerne les billets de banque, même si la BNS n'est pas habilitée à définir juridiquement les cas dans lesquels leur reproduction ne pose aucun problème, elle estime cependant que, dans les cas de reproductions barrées avec la mention « SPECIMEN », il n'y a généralement pas de risque de confusion avec des billets authentiques, pour autant que la reproduction concernée satisfasse encore à un certain nombre de conditions additionnelles liées notamment aux dimensions (suffisamment agrandies ou réduites par rapport à l'original), à la matière (autre support de reproduction) ou à la couleur des billets. Ces critères, à l'exemple de celui de la couleur (dont le texte légal ne fait toutefois pas mention), semblent principalement valoir pour des êtres humains (plutôt que pour des appareils), pour les aider à lever tout éventuel risque de confusion. (A. MACALUSO / L. MOREILLON / N. QUELOZ (éds), Commentaire romand, Code pénal II, vol. II, Partie spéciale : art. 111-392 CP, Bâle 2017, n. 7 ad art. 243 CP). Par l'acquisition, la fausse monnaie entre dans le patrimoine de l’auteur, à quelque titre que ce soit (onéreux/gratuit, légal ou illégal​) et quelle que soit la qualité de l’auteur (intermédiaire, créancier gagiste ou associé). Une simple possession pour le compte d’un tiers ne suffit pas ; il faut une augmentation juridique et économique du patrimoine (ATF 80 IV 252 consid. 2 ; J. CHAPUIS / J.-L. BACHER, op.cit., n. 6 ad art. 244 CP). D'un point de vue subjectif, l’intention doit porter sur tous les éléments constitutifs de l’infraction, y compris sur le fait du cours légal, inclus dans la notion de monnaie. Le dol éventuel suffit (ATF 82 IV 198 consid. 2 et 3).​ Tout comme l’infraction de fabrication de fausse monnaie, l'art. 244 CP exige, en plus de l'intention, le dessein spécial de vouloir ou, à tout le moins, d’accepter que les faux billets soient mis en circulation comme authentiques. Le dol éventuel est également suffisant (arrêts du Tribunal fédéral 6B_65/2011 du 8 septembre 2011 consid. 4.2 ; 6S_132/2005 du 16 mai 2005 consid. 2.1.1). 3.1. C'est à tort que l'appelant soutient avoir été contrôlé par la police uniquement en raison de la couleur de sa peau. Il ressort en effet de la procédure que l'attention de la police ne s'est pas d'emblée portée sur l'appelant, mais sur un groupe d'individus en conflit sur la voie publique. Le constat policier correspond aux dires de l'appelant, selon lesquels plusieurs personnes s'étaient attroupées pour se mêler à la discussion qu'il avait avec la femme qu'il suspectait de lui avoir dérobé son/ses vêtement(s). Une fois le groupe dispersé, la police a été mise en présence de l'appelant et de la dame en question, qui l'accusait de l'importuner en lui proposant d'entretenir une relation sexuelle tarifée alors même qu'elle n'était pas une travailleuse du sexe, tandis que ce dernier lui reprochait le vol de sa/ses veste(s). Au vu de ces éléments et eu égard à l'état d'excitation de l'appelant, la police a décidé de procéder au contrôle de son identité. Il s'ensuit que c'est bien l'enchaînement des circonstances décrites ci-dessus et non la couleur de sa peau, qui a déterminé la police à procéder au contrôle de l'identité de l'appelant et ce, conformément à l'art. 47 al. 1 LPol, dès lors que l'intéressé était suspecté d'avoir importuné une femme sur la voie publique en lui proposant d'entretenir une relation sexuelle tarifée, comportement susceptible de tomber sous le coup de l'art. 198 aCP. Partant, le contrôle d'identité effectué par la police était licite, de sorte que le grief de l'appelant, dont il ne tire au demeurant aucune conséquence sur le plan juridique, doit être écarté. 3.2. Sous l'angle de l'art. 286 CP, il ressort du dossier que l'appelant s'est activement opposé à son interpellation, laquelle était justifiée en regard des circonstances, comme déjà indiqué, au point que la police a dû recourir à plusieurs techniques policières (clé de coude circulaire, contrôle de cou et frappe de déstabilisation notamment) afin de le plaquer sur le capot du véhicule de police pour le menotter, usage de la force à l'origine de la rougeur qu'il a présentée au front et qui ne s'explique que par son opposition active. De son aveu même, certes à demi-mot, l'appelant concède ne pas avoir obtempéré aux injonctions des policiers, en particulier en plaçant ses mains dans son dos plutôt que sur le véhicule de service et en refusant de se mettre à terre, opposition qu'il a justifiée par le fait qu'il s'estimait victime d'un vol d'habit(s), de sorte qu'il a agi à dessein. Partant, l'ensemble des éléments constitutifs objectifs et subjectifs de l'art. 286 CP étant réalisés, c'est à juste titre que l'appelant a été reconnu coupable d'opposition aux actes de l'autorité. L'appel sera ainsi rejeté sur ce point. 3.3. Il en ira de même s'agissant de l'infraction à l'art. 244 CP. Il est établi et non contesté que lors de son interpellation, l'appelant était en possession d'un billet de EUR 100.-, qu'il avait ramassé par terre, placé dans sa sacoche et savait être une contrefaçon. Celle-ci était de nature à créer un risque de confusion, dès lors qu'hormis la mention " spécimen ", le billet avait un format et une couleur similaires à une devise authentique. C'est manifestement dans le but de le mettre en circulation que l'appelant a conservé ce faux billet, en dépit de ses dénégations. Il ressort en effet du dossier que lors de l'intervention des policiers, il importunait une femme, dont l'identité n'a pas été relevée, en lui proposant d'entretenir une relation sexuelle en contrepartie de EUR 100.-, selon les explications fournies sur place par l'intéressée. Or, celles-ci apparaissent davantage crédibles que les propos de l'appelant pour tenter de justifier son comportement. Tout d'abord, outre le fait que la police n'avait aucun intérêt à inscrire dans son rapport des éléments mensongers, l'appelant était effectivement en possession de EUR 100.-, certes sous forme d'un billet contrefait, à l'exclusion de toutes autres devises totalisant ce montant, ce que l'inconnue ne pouvait pas savoir, ledit billet se trouvant dans la sacoche du prévenu. Par ailleurs, devant le MP, l'appelant a admis que celle-ci l'avait accusé de l'avoir abordée pour entretenir un rapport sexuel, ce qui donne du crédit aux explications de ladite femme et, partant, au contenu du rapport de police. À cela s'ajoute que l'appelant n'a pas été constant dans son récit, alléguant successivement le vol de deux vestes, ce dont il s'était aperçu dans le bar où il était attablé, si bien qu'il avait poursuivi la voleuse après qu'elle était sortie de l'établissement (MP), avant d'affirmer qu'un seul de ses habits avait été dérobé, ce qu'il n'avait constaté qu'à la fermeture du débit de boissons, s'étant ensuite rendu à l'extérieur de celui-ci pour tenter d'identifier l'auteur du vol sur les conseils du tenancier (TP). Enfin, son absence d'intention de mettre en circulation ledit billet ne saurait se déduire du fait qu'il n'a pas tenté, à le suivre, de régler sa consommation au moyen de celui-ci, le dossier étant muet sur ce point. Il s'ensuit qu'en abordant une femme demeurée inconnue pour lui proposer d'entretenir une relation sexuelle au tarif de EUR 100.-, alors même qu'il ne disposait de ce montant que sous forme d'un billet falsifié, qu'il souhaitait ainsi mettre en circulation à cette fin, l'appelant a réalisé, à dessein, l'ensemble des éléments constitutifs objectifs et subjectifs de l'art. 244 CP. Partant, l'appel sera rejeté et le jugement du TP confirmé sur ce point également. 4.1.1. L'infraction à l'art. 244 al. 1 CP est punissable d'une peine privative de liberté de trois ans au plus ou d'une peine pécuniaire, tandis que celle à l'art. 115 al. 1 let. b LEI l'est d'une privative de liberté d’un an au plus ou d’une peine pécuniaire et que l'art. 286 CP est réprimé d'une peine pécuniaire de 30 jours-amende au plus.</w:t>
      </w:r>
    </w:p>
    <w:p>
      <w:r>
        <w:rPr>
          <w:b/>
        </w:rPr>
        <w:t>E. 5</w:t>
      </w:r>
    </w:p>
    <w:p>
      <w:r>
        <w:t>5.1. L'appelant, qui succombe, supportera les frais de la procédure envers l'État, lesquels comprendront un émolument d'arrêt de CHF 1'000.- (art. 428 al. 1 CPP).</w:t>
      </w:r>
    </w:p>
    <w:p>
      <w:r>
        <w:rPr>
          <w:b/>
        </w:rPr>
        <w:t>E. 5.2</w:t>
      </w:r>
    </w:p>
    <w:p>
      <w:r>
        <w:t>Vu l'issue de l'appel, il n'y a pas lieu de revoir la répartition des frais de première instance (art. 428 al. 3 CPP).</w:t>
      </w:r>
    </w:p>
    <w:p>
      <w:r>
        <w:rPr>
          <w:b/>
        </w:rPr>
        <w:t>E. 6</w:t>
      </w:r>
    </w:p>
    <w:p>
      <w:r>
        <w:t>Considéré globalement, l'état de frais produit par M e B______, défenseure d'office de A______, satisfait les exigences légales et jurisprudentielles régissant l'assistance judiciaire gratuite en matière pénale. La rémunération de M e B______ sera partant arrêtée à CHF 1'037.75 correspondant à quatre heures d'activité au tarif de CHF 200.- /heure plus la majoration forfaitaire de 20 % et l'équivalent de la TVA au taux de 8.1% en CHF 77.75.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