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P/22383/2018 vom 14. Januar 2021</w:t>
      </w:r>
    </w:p>
    <w:p>
      <w:r>
        <w:t>GE Cour de justice, 2021-01-14, FR</w:t>
      </w:r>
    </w:p>
    <w:p>
      <w:r>
        <w:rPr>
          <w:b/>
        </w:rPr>
        <w:t xml:space="preserve">Quelle: </w:t>
      </w:r>
      <w:r>
        <w:t>https://mcp.opencaselaw.ch/entscheid/ge_gerichte_P_22383_2018</w:t>
      </w:r>
    </w:p>
    <w:p>
      <w:r>
        <w:t>FR: GE_GERICHTE P/22383/2018 du 14 janvier 2021</w:t>
      </w:r>
    </w:p>
    <w:p>
      <w:r>
        <w:t>IT: GE_GERICHTE P/22383/2018 del 14 gennaio 2021</w:t>
      </w:r>
    </w:p>
    <w:p>
      <w:pPr>
        <w:pStyle w:val="Heading2"/>
      </w:pPr>
      <w:r>
        <w:t>Regeste</w:t>
      </w:r>
    </w:p>
    <w:p>
      <w:r>
        <w:t>DISJONCTION | CPP.29; CPP.30</w:t>
      </w:r>
    </w:p>
    <w:p>
      <w:pPr>
        <w:pStyle w:val="Heading2"/>
      </w:pPr>
      <w:r>
        <w:t>Erwägungen</w:t>
      </w:r>
    </w:p>
    <w:p>
      <w:r>
        <w:rPr>
          <w:b/>
        </w:rPr>
        <w:t>E. 1</w:t>
      </w:r>
    </w:p>
    <w:p>
      <w:r>
        <w:t>Le recours est recevable pour avoir été déposé selon la forme et dans le délai prescrits - la décision attaquée ayant été communiquée par pli simple -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29 CPP, les infractions sont poursuivies et jugées conjointement lorsqu'un prévenu a commis plusieurs infractions (al. 1 let. a) ou s'il y a plusieurs coauteurs ou participants (al. 1 let. b). Le principe d'unité de la procédure découle déjà de l'art. 49 CP et, sous réserve d'exceptions, s'applique à toutes les situations où plusieurs infractions, respectivement plusieurs personnes, doivent être jugées ensemble (Y. JEANNERET / A. KUHN / C. PERRIER DEPEURSINGE (éds.), Code de procédure pénale suisse , Bâle 2019,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 2ème édition, Bâle 2016, n. 3 ad art. 29).</w:t>
      </w:r>
    </w:p>
    <w:p>
      <w:r>
        <w:rPr>
          <w:b/>
        </w:rPr>
        <w:t>E. 3.2</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(L. MOREILLON / A. PAREIN-REYMOND, op. cit. , n. 3 ad art. 30 CPP). Ces raisons objectives excluent en revanche de se fonder sur de simples motifs de commodité (Y. JEANNERET / A. KUHN / C. PERRIER DEPEURSINGE (éds.), op. cit., n. 2 ad art. 30). Cette possibilité entraîne une extension de l'unité de la procédure à des situations qui ne sont pas incluses dans l'art. 29 CPP.</w:t>
      </w:r>
    </w:p>
    <w:p>
      <w:r>
        <w:rPr>
          <w:b/>
        </w:rPr>
        <w:t>E. 3.3</w:t>
      </w:r>
    </w:p>
    <w:p>
      <w:r>
        <w:t>En l'espèce, le recourant a dénoncé des violences policières commises lors de son interpellation, le 5 novembre 2018. L'enquête menée par l'IGS a révélé, en sus, des problématiques en lien avec la perquisition d'un appartement à l'avenue 3______ (autorisation de perquisition signée par C______ le 5 novembre 2018) ainsi que sur le contenu des rapports d'arrestation du recourant du 5 novembre 2018, respectivement de C______ et D______ du 6 novembre 2018, faisant suite à cette perquisition. Ces faits ont donné lieu à l'ouverture d'une instruction contre les policiers visés par la plainte, du chef d'infraction à l'art. 317 CP. Quand bien même la perquisition de l'appartement fait suite à l'interpellation du recourant, les faits reprochés aux policiers ne s'inscrivent pas dans le même complexe de faits. Le fait que le recourant ait été apparemment amené dans l'appartement susvisé - où il dit avoir également subi des violences policières - ne fait pas de lui un lésé direct sous l'angle de l'art. 317 CP, dite infraction tendant à préserver la confiance des citoyens dans l'exactitude d'un titre, le crédit spécial dont jouissent les actes officiels de l'État ainsi que l'intérêt de ce dernier à une gestion fiable par ses fonctionnaires. Que cette infraction ait été révélée dans le cadre d'un rapport de l'IGS à la suite de sa plainte pour maltraitances policières n'y change rien, tout comme le fait que, selon lui, l'infraction de faux dans les titres accréditerait ses accusations s'agissant des violences subies. Les complexes de faits visant les policiers étant distincts, la décision de disjonction se justifie pleinement. Elle l'est d'autant plus que l'instruction de la procédure diligentée à la suite de la plainte du recourant semble terminée, le Ministère public ayant rendu un avis de prochaine clôture. Enfin, la disjonction ordonnée n'est pas de nature à entraver l'éventuelle exécution des actes d'instruction sollicités par le recourant, qui portent exclusivement sur les violences policières dénoncées.</w:t>
      </w:r>
    </w:p>
    <w:p>
      <w:r>
        <w:rPr>
          <w:b/>
        </w:rPr>
        <w:t>E. 4</w:t>
      </w:r>
    </w:p>
    <w:p>
      <w:r>
        <w:t>Infondé, le recours sera rejeté.</w:t>
      </w:r>
    </w:p>
    <w:p>
      <w:r>
        <w:rPr>
          <w:b/>
        </w:rPr>
        <w:t>E. 5</w:t>
      </w:r>
    </w:p>
    <w:p>
      <w:r>
        <w:t>Le recourant succombe mais sera, dans la mesure où l'assistance judiciaire lui a été accordée, exonéré des frais de la procédure de recours (art. 136 al. 2 let. b CPP).</w:t>
      </w:r>
    </w:p>
    <w:p>
      <w:r>
        <w:rPr>
          <w:b/>
        </w:rPr>
        <w:t>E. 6</w:t>
      </w:r>
    </w:p>
    <w:p>
      <w:r>
        <w:t>La procédure n'étant pas terminée, il n'y a pas lieu d'indemniser à ce stade le conseil juridique gratuit (art. 138 al. 1 et 135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