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P/22360/2019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https://mcp.opencaselaw.ch/entscheid/ge_gerichte_P_22360_2019</w:t>
      </w:r>
    </w:p>
    <w:p>
      <w:r>
        <w:t>FR: GE_GERICHTE P/22360/2019 du 15 février 2022</w:t>
      </w:r>
    </w:p>
    <w:p>
      <w:r>
        <w:t>IT: GE_GERICHTE P/22360/2019 del 15 febbraio 2022</w:t>
      </w:r>
    </w:p>
    <w:p>
      <w:pPr>
        <w:pStyle w:val="Heading2"/>
      </w:pPr>
      <w:r>
        <w:t>Regeste</w:t>
      </w:r>
    </w:p>
    <w:p>
      <w:r>
        <w:t>CP.111 CP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1. Recevabilité. 23 2. Etablissement des faits. 23 3. Infractions encore reprochées. 29 4. Peine. 31 5. Frais. 37 6. Indemnisation du défenseur d'office et des conseils juridiques gratuits. 37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