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P/22347/2020 vom 11. Juni 2021</w:t>
      </w:r>
    </w:p>
    <w:p>
      <w:r>
        <w:t>GE Cour de justice, 2021-06-11, FR</w:t>
      </w:r>
    </w:p>
    <w:p>
      <w:r>
        <w:rPr>
          <w:b/>
        </w:rPr>
        <w:t xml:space="preserve">Quelle: </w:t>
      </w:r>
      <w:r>
        <w:t>https://mcp.opencaselaw.ch/entscheid/ge_gerichte_P_22347_2020</w:t>
      </w:r>
    </w:p>
    <w:p>
      <w:r>
        <w:t>FR: GE_GERICHTE P/22347/2020 du 11 juin 2021</w:t>
      </w:r>
    </w:p>
    <w:p>
      <w:r>
        <w:t>IT: GE_GERICHTE P/22347/2020 del 11 giugno 2021</w:t>
      </w:r>
    </w:p>
    <w:p>
      <w:pPr>
        <w:pStyle w:val="Heading2"/>
      </w:pPr>
      <w:r>
        <w:t>Regeste</w:t>
      </w:r>
    </w:p>
    <w:p>
      <w:r>
        <w:t>RÉVOCATION DU SURSIS | CP.46; CP.49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2.1.1. La peine prévue par les art. 137 ch. 1 CP et 119 al. 1 LEI est une peine privative de liberté de trois ans au plus ou une peine pécuniaire, tandis que celle prévue par l'art. 115 al. 1 let. b LEI est une peine privative de liberté d'un an au plus ou une peine pécuniaire. 2.1.2. Le séjour illégal est un délit continu, l'infraction étant achevée au moment où le séjour prend fin.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et pour fixer la peine sans égard à la durée de l'infraction déjà prise en compte dans un jugement antérieur, il faut donc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Si les condamnations prononcées antérieurement atteignent ou dépassent cette limite, le prévenu est condamné à une peine de quotité nulle (ATF 145 IV 449 consid. 1 ; 135 IV 6 consid. 4.2). 2.1.3.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2.1.4. Bien que la récidive ne constitue plus un motif d'aggravation obligatoire de la peine (art. 67 a CP), les antécédents continuent de jouer un rôle très important dans la fixation de celle-ci (M. NIGGLI / H. WIPRÄCHTIGER [éds], Basler Kommentar Strafrecht I : Art. 1-110 StGB, Jugendstrafgesetz , 4 e éd., Bâle 2019, n. 130 ad art. 47 CP ; arrêt du Tribunal fédéral 6B_1202/2014 du 14 avril 2016 consid. 3.5). La rechute de l'auteur témoignerait d'une énergie criminelle accrue. Toutefois, si l'on considère la personnalité des récidivistes - souvent sans grande volonté, voire velléitaires - davantage que d'un acharnement criminel réitéré, leur comportement dénote plutôt une incapacité à tirer un enseignement des expériences passées et à traduire des décisions dans une conduite exempte d'infractions. C'est pourquoi il est certainement hâtif de généraliser la règle qui veut que le nombre de condamnations antérieures accroisse la culpabilité. En revanche, les besoins de la prévention tant spéciale que générale peuvent justifier de punir plus sévèrement un récidiviste (L. MOREILLON / A. MACALUSO / N. QUELOZ / N. DONGOIS [éds], Code pénal I : art. 1-110 CP , 2 e éd., Bâle 2020, n. 54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w:t>
      </w:r>
    </w:p>
    <w:p>
      <w:r>
        <w:rPr>
          <w:b/>
        </w:rPr>
        <w:t>E. 2.2</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Le prononcé d'une peine unique dans le sens d'un examen global de tous les délits à juger n'est pas possible (ATF 145 IV 1 consid. 1.4 ; 144 IV 313 consid. 1.1.2). 2.3.1.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 du Tribunal fédéral 6B_1457/2020 du 15 avril 2021 consid. 2.1). Le défaut de prise de conscience de la faute peut justifier un pronostic défavorable, car seul celui qui se repent de son acte mérite la confiance que l'on doit pouvoir accorder au condamné bénéficiant du sursis (arrêt du Tribunal fédéral 6B_1457/2020 du 15 avril 2021 consid. 2.1). 2.3.2. Si, durant le délai d'épreuve, le condamné commet un crime ou un délit et qu'il y a dès lors lieu de prévoir qu'il commettra de nouvelles infractions, le juge révoque le sursis ou le sursis partiel (art. 46 al. 1 1 ère ph.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(ATF 134 IV 140 consid. 4.4 s. ; arrêt du Tribunal fédéral 6B_291/2020 du 15 mai 2020 consid. 2.3). Si la peine révoquée et la nouvelle peine sont du même genre, il fixe une peine d'ensemble (art. 46 al. 1 2 e ph. cum 49 par analogie CP). Concrètement, le juge procède de la manière suivante : il part de la peine fixée pour l'infraction la plus grave, qu'il prononce pour les actes commis pendant le délai d'épreuve en considération des facteurs d'appréciation de la peine (art.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2.4</w:t>
      </w:r>
    </w:p>
    <w:p>
      <w:r>
        <w:t>En l'espèce, la faute de l'appelant est d'une certaine importance. Outre persister à séjourner en Suisse et à se rendre à Genève, alors qu'il sait y faire l'objet d'une interdiction valable, il n'a pas hésité à s'en prendre au patrimoine d'autrui par appât du gain facile. Sa situation personnelle est certes précaire, mais ne justifie pas ses agissements. En effet, elle a été largement engendrée par son obstination à demeurer en Suisse au mépris de la législation en vigueur et des décisions prononcées à son encontre. D'ailleurs, son absence totale de liens avec ce pays rend incompréhensible son insistance à y rester en toute illégalité. Son jeune âge sera cependant pris en considération. La période pénale est très courte (9 au 23 novembre 2020), même à considérer le comportement réfractaire de l'appelant dans son intégralité (5 octobre au 23 novembre 2020). Le préjudice causé à la collectivité ne saurait néanmoins être minimisé puisque de nombreux acteurs sont appelés à le réprimer, ce qui les mobilise, de même que les deniers publics. La collaboration de l'appelant est sans particularité, dans la mesure où il a admis des faits difficilement contestables compte tenu des circonstances. L'appelant a persisté dans ses comportements illégaux en dépit des quatre condamnations prononcées à son encontre pour des infractions similaires, de surcroît très récentes. Un tel comportement démontre l'intensité de sa volonté délictuelle. Les faits reprochés sont survenus le lendemain-même de sa condamnation à une peine privative de liberté ferme. L'appelant n'a tiré aucun enseignement des précédentes sanctions prononcées à son encontre, ni même des deux avertissements et prolongations de la durée du délai d'épreuve assortissant le sursis dont il avait bénéficié le 10 octobre 2020. S'il a affirmé vouloir quitter la Suisse pour la France, voire l'Algérie, rien ne permet d'avoir la certitude de ce qu'il s'y serait désormais effectivement résigné. En effet, il n'a pas démontré ni même allégué avoir entamé la moindre démarche en ce sens, sans compter qu'il n'a présenté aucun projet - encore moins concret - pour son avenir. De plus, la Cour ne saurait oublier que l'appelant se trouve dénué de tout moyen de subsistance et a commis divers larcins pour y palier. Le risque est élevé que ce comportement subsistera au regard également des trois antécédents spécifiques en la matière. Ainsi, malgré les regrets exprimés et le début de prise de conscience provoqué par l'actuelle exécution de deux peines privatives de liberté, un pronostic défavorable demeure. Le prononcé du sursis est partant exclu. Outre les raisons susmentionnées, l'appelant a également commis, à de brefs intervalles, les infractions, objets de la présente procédure, durant les délais d'épreuve des sursis octroyés les 10 et 14 octobre 2020, dont le premier avait déjà été prolongé par deux fois. Le pronostic est clairement défavorable, tant au regard de cette quatrième récidive que de l'entêtement de l'intéressé à rester sur le territoire Suisse, alors qu'il savait ne pas y être autorisé, s'attaquant de surcroît au patrimoine d'autrui. Ses agissements démontrent son imperméabilité à la sanction dans la perspective d'un amendement et les deux sursis accordés ne sauraient donc être maintenus. Une peine d'ensemble, incluant les peines privatives de liberté de 90 jours chacune dont les sursis respectifs sont révoqués, sera dès lors prononcée. Au vu de ce qui précède, seule une peine privative de liberté paraît de nature à remplir son rôle de prévention spéciale, ce que l'appelant ne conteste d'ailleurs pas. Il convient de souligner que le séjour illégal présentement jugé ne découle pas d'une intention délictuelle différente des cas commis depuis l'entrée en Suisse de l'appelant, le 5 octobre 2020. Depuis cette date, il a fait l'objet de plusieurs condamnations pour séjour illégal, toujours en concours avec d'autres infractions. La quotité de la peine privative de liberté doit dès lors être fixée en tenant également compte des peines déjà subies en raison de ce délit continu jusqu'au 23 novembre 2020. L'examen du casier judiciaire conduit la Cour à évaluer à trois mois la somme des peines déjà encourues sanctionnant le séjour illégal de l'appelant (qui entrait chaque fois en concours avec une infraction sanctionnée d'une peine menace nettement plus grave), soit un total bien en-deçà de la peine menace d'un an prévue par la loi. Pour réprimer en concours des infractions abstraitement de même gravité puisque sanctionnées par la même peine menace (à l'exception de l'art. 115 LEI), la Cour juge approprié de fixer la peine de base à trois mois de privation de liberté pour les deux infractions à l'art. 119 LEI. Cette peine devrait ensuite être augmentée de cinq mois (peine théorique de deux fois 90 jours) pour tenir compte de la révocation des deux sursis. Elle devrait encore être aggravée en raison de l'appropriation illégitime et du séjour illégal. Compte tenu de l'interdiction de la reformatio in peius , il n'y a toutefois pas lieu de chiffrer le supplément de peine encouru pour ces infractions. La peine privative de liberté de sept mois prononcée par le TP apparaît en réalité clémente. L'appelant a encore été sanctionné d'une amende pour contravention à la LStup (CHF 100.-), laquelle est adéquate et au demeurant non contestée.</w:t>
      </w:r>
    </w:p>
    <w:p>
      <w:r>
        <w:rPr>
          <w:b/>
        </w:rPr>
        <w:t>E. 3</w:t>
      </w:r>
    </w:p>
    <w:p>
      <w:r>
        <w:t>3.1. Non contestée, l'expulsion de Suisse de l'appelant pour une durée de cinq ans est conforme au droit applicable et à la jurisprudence développée en la matière, vu notamment l'absence totale de liens en Suisse et la gravité de sa faute (art. 66 a bis CP). Elle sera partant confirmée.</w:t>
      </w:r>
    </w:p>
    <w:p>
      <w:r>
        <w:rPr>
          <w:b/>
        </w:rPr>
        <w:t>E. 3.2</w:t>
      </w:r>
    </w:p>
    <w:p>
      <w:r>
        <w:t>Le principe de proportionnalité fait obstacle à l'extension de la mesure d'expulsion prononcée à l'ensemble de l'espace Schengen, s'agissant en l'espèce d'une expulsion facultative.</w:t>
      </w:r>
    </w:p>
    <w:p>
      <w:r>
        <w:rPr>
          <w:b/>
        </w:rPr>
        <w:t>E. 4</w:t>
      </w:r>
    </w:p>
    <w:p>
      <w:r>
        <w:t>Les décisions de confiscation et destruction ne sont, à juste titre, pas remises en cause et seront confirmées.</w:t>
      </w:r>
    </w:p>
    <w:p>
      <w:r>
        <w:rPr>
          <w:b/>
        </w:rPr>
        <w:t>E. 5</w:t>
      </w:r>
    </w:p>
    <w:p>
      <w:r>
        <w:t>La Cour a prononcé, par ordonnance séparée du 7 mai 2021, l'exécution par l'appelant des peines prononcées dans les P/1______/2020 et P/2______/2020 au titre de mesures de substitution, sans qu'aucune sortie, ni congé ni travail externe (TEX) ne soient autorisés. Elle a également d'ores et déjà ordonné la détention pour des motifs de sûreté de l'appelant dès la fin, pour quelque raison que ce soit (libération conditionnelle ou fin de peine), de l'exécution des peines précitées. Ces mesures de substitution peuvent être levées, la présence de l'appelant n'étant plus nécessaire à la procédure d'appel. Dans la mesure où l'appelant exécute actuellement des peines privatives de liberté sans lien avec la présente cause, il n'y a toutefois pas lieu d'ordonner sa mise en liberté, cette compétence appartenant exclusivement à l'autorité d'exécution. Ces mesures de substitution n'ont par ailleurs occasionné aucune atteinte supplémentaire à sa liberté personnelle et ne justifient dès lors aucune déduction sur la peine prononcée.</w:t>
      </w:r>
    </w:p>
    <w:p>
      <w:r>
        <w:rPr>
          <w:b/>
        </w:rPr>
        <w:t>E. 6</w:t>
      </w:r>
    </w:p>
    <w:p>
      <w:r>
        <w:t>L'appelant, qui succombe, supportera les frais de la procédure envers l'Etat (art. 428 CPP).</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de CHF 200.- pour un chef d'étude (let. c), débours de l'étude inclus. Conformément à l'art. 16 al. 2 RAJ, seules les heures nécessaires sont retenues. Elles sont appréciées en fonction notamment de la nature, de l'importance et des difficultés de la cause, de la valeur litigieuse, de la qualité du travail fourni et du résultat obtenu. L'activité qui n'est pas nécessaire à la défense devant les autorités cantonales n'est pas couverte par l'assistance juridique.</w:t>
      </w:r>
    </w:p>
    <w:p>
      <w:r>
        <w:rPr>
          <w:b/>
        </w:rPr>
        <w:t>E. 7.2</w:t>
      </w:r>
    </w:p>
    <w:p>
      <w:r>
        <w:t>En l'occurrence, le dossier était bien connu, sans difficulté particulière ni en fait ni en droit. Les conclusions prises en appel étaient en outre similaires à celles plaidées en première instance. Partant, l'état de frais produit par M e C______, défenseur d'office de A______, sera réduit de 3h40 pour la rédaction du mémoire d'appel. La rémunération sera ainsi arrêtée à CHF 2'180.- correspondant à 9h05 d'activité au tarif de CHF 200.-/heure (CHF 1'816.67), plus la majoration forfaitaire de 20% (CHF 363.33).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