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P/22344/2014 vom 22. Juli 2016</w:t>
      </w:r>
    </w:p>
    <w:p>
      <w:r>
        <w:t>GE Cour de justice, 2016-07-22, FR</w:t>
      </w:r>
    </w:p>
    <w:p>
      <w:r>
        <w:rPr>
          <w:b/>
        </w:rPr>
        <w:t xml:space="preserve">Quelle: </w:t>
      </w:r>
      <w:r>
        <w:t>https://mcp.opencaselaw.ch/entscheid/ge_gerichte_P_22344_2014</w:t>
      </w:r>
    </w:p>
    <w:p>
      <w:r>
        <w:t>FR: GE_GERICHTE P/22344/2014 du 22 juillet 2016</w:t>
      </w:r>
    </w:p>
    <w:p>
      <w:r>
        <w:t>IT: GE_GERICHTE P/22344/2014 del 22 luglio 2016</w:t>
      </w:r>
    </w:p>
    <w:p>
      <w:pPr>
        <w:pStyle w:val="Heading2"/>
      </w:pPr>
      <w:r>
        <w:t>Regeste</w:t>
      </w:r>
    </w:p>
    <w:p>
      <w:r>
        <w:t>DISPOSITIONS PÉNALES DE LA LSTUP; SÉJOUR ILLÉGAL; DIRECTIVE 2008/115/CE; EMPÊCHEMENT(EN GÉNÉRAL); IN DUBIO PRO REO; APPRÉCIATION DES PREUVES; GARANTIE DE PROCÉDURE; INTERPRÈTE; LANGUE DE LA PROCÉDURE; FIXATION DE LA PEINE; PEINE COMPLÉMENTAIRE; PEINE PÉCUNIAIRE ; PEINE PRIVATIVE DE LIBERTÉ ; PRONOSTIC ; CONFISCATION(DROIT PÉNAL) | CP.286.1; CP.69; CP.70.1; CP.49.1; CP.49.2; CP.41.1; CP.42; LStup.19.1; LStup.19a; LEtr.115.1.B; CPP.10.2; CPP.404.2; CPP.68.1; CEDH.6.3.d</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ce qui est le cas en l'espèce (cf . infra , 2.2.2.). 1.2.1.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1.2.2.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Il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1.2.3. Conformément à l'art. 6 § 3 let. d CEDH, tout accusé a le droit d'interroger ou de faire interroger les témoins à charge. Il s'agit d'un des aspects du droit à un procès équitable institué à l'art. 6 § 1 CEDH. Cette garantie exclut qu'un jugement pénal soit fondé sur les déclarations de témoins sans qu'une occasion appropriée et suffisante soit au moins une fois offerte au prévenu de mettre ces témoignages en doute et d'interroger les témoins (ATF 131 I 146 consid. 2.2 p. 480 ; ATF 129 I 151 consid. 3.1 p. 153 et les références citées). Ce droit n'est toutefois absolu que lorsque le témoignage litigieux est déterminant, à savoir lorsqu'il constitue la seule preuve ou pour le moins une preuve essentielle (ATF 131 I 476 consid. 2.2 p. 481 ; ATF 129 I 151 consid. 3.1 p. 154 et les arrêts cités. L'accusé ne peut en principe exercer qu'une seule fois le droit d'interroger ou de faire interroger les témoins à charge (ATF 125 I 127 consid. 6c/ee p. 136 et les arrêts cités). Il n'est pas exclu de prendre en compte des dépositions recueillies durant la phase de l'enquête, pour autant que l'accusé ait disposé d'une occasion adéquate et suffisante de contester ces témoignages à charge et d'en interroger ou d'en faire interroger les auteurs (ATF 125 I 127 consid. 6b p. 132 et les arrêts cités). Ainsi,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(ATF 131 I 476 consid. 2.2 p. 480 ss ; arrêt du Tribunal fédéral 6B_704/2012 du 3 avril 2013 consid. 2.2). 1.2.4.1. Selon l'art. 68 al.1 in limine CPP, la direction de la procédure fait appel à un traducteur ou un interprète lorsqu'une personne participant à la procédure ne comprend pas la langue de la procédure ou n'est pas en mesure de s'exprimer suffisamment bien dans cette langue. La police dispose également de ce droit (D. EQUEY , L'interprète et le traducteur dans la procédure pénale , SJ 2013 II 429/430 et les références citées). 1.2.4.2. En l'espèce, l'appelant prétend que ses auditions à la police seraient inexploitables, faute d'avoir bénéficié de l'assistance d'un interprète et/ou d'un avocat. Or, il ressort des procès-verbaux des auditions des 14 novembre 2014 et 27 janvier 2015 qu'il a déclaré avoir pris connaissance de ses droits, ne pas avoir besoin d'un traducteur, ni souhaiter la présence d'un avocat. Il a de plus signé la formule énumérant les droits et obligations du prévenu. Certes, l'appelant a été assisté d'un interprète lors de sa première audition au Ministère public, le 18 février 2015, suite à la demande de son avocat. Il ne l'a toutefois pas été lors de la seconde, le 19 mai 2015, lors de laquelle il a été confronté au témoin I______, sans que son défenseur d'office ne s'en plaigne. La convocation portait de plus mention, en français et en anglais, de la possibilité de requérir les services d'un interprète. Lors des audiences ultérieures au Tribunal de police et à la CPAR, l'appelant s'est exprimé en français, sans difficulté et sans que son conseil n'émette de grief à cet égard. Il est dès lors établi que l'appelant comprend cette langue, étant encore précisé que les éléments à charge ne découlent pas de ses déclarations. Ce grief, intervenant de surcroît tardivement, frise la témérité, et sera écarté.</w:t>
      </w:r>
    </w:p>
    <w:p>
      <w:r>
        <w:rPr>
          <w:b/>
        </w:rPr>
        <w:t>E. 1.3</w:t>
      </w:r>
    </w:p>
    <w:p>
      <w:r>
        <w:t>Il est établi par les observations policières que, le 27 janvier 2015, une toxicomane est entrée en contact avec l'appelant, à la hauteur de la banque ___, sise rue du D______ 28, emplacement auquel il a été observé à réitérées reprises par le gendarme I______. Ces observations établissent également qu'un second cocaïnomane a abordé l'appelant, le même jour, au même endroit et dans des circonstances identiques. Le témoin E______ a admis avoir acquis, auprès d'un dealer portant un bonnet noir et pompon orange, une boulette d'un gramme de cocaïne pour la somme de CHF 80.-qu'il a payée avec trois coupures de CHF 10.-, CHF 20.- et CHF 50.-, liasses qui, à teneur du rapport d'intervention, ont été retrouvées en possession de l'appelant lors de son interpellation. Le témoin I______ a confirmé ces constatations sans qu'aucun élément tangible ne permette d'en douter. L'appelant n'a pas contesté avoir porté un bonnet noir au pompon orange le jour des faits. Il a lui-même évoqué un couvre-chef, sans en préciser la couleur, ce qui, selon ses dires, aurait amené les policiers à le confondre avec un compatriote. Cette hypothèse, nullement étayée, n'est pas convaincante, dans la mesure où il est fort peu probable qu'un autre individu africain se trouvât au même endroit, au même moment, avec un bonnet à ce point similaire à celui de l'appelant qu'il induise des gendarmes en erreur. Nonobstant le défaut de confrontation, la déposition du témoin E______ peut être retenue à charge, dès lors qu'elle est corroborée par ces autres éléments. Les explications de l'appelant, notamment sur les raisons de sa présence à Genève, les motifs de sa fuite ou encore ses moyens de subsistance, sont au demeurant dénuées de toute crédibilité, celui-ci n'ayant cessé de se contredire et d'adapter ses déclarations à l'évolution de la procédure. Le témoin F______ a clairement reconnu l'appelant sur planche photographique comme étant son dealer. Il avait certes refusé de lui vendre une boulette de cocaïne d'un demi-gramme le jour des faits, celui-ci ne disposant que de quantités d'un gramme, mais durant les deux derniers mois, au même endroit, lui avait fourni l'équivalent de 3,5 grammes de drogue, pour un total de CHF 280.-. Ses hésitations subséquentes ne sont pas déterminantes, dans la mesure où elles surviennent un an après les faits, dans un contexte d'addictologie et qu'elles témoignent plutôt d'une certaine honnêteté intellectuelle. Initialement, elle avait bien dit la vérité et effectivement identifié l'individu grâce à son visage, non à sa corpulence. Il n'est dès lors pas pertinent qu'il lui semblât soudain que l'appelant était plus mince que son dealer . À cet égard, on ne saurait reprocher à la police d'avoir préféré présenter au témoin huit clichés sur une planche photographique, dont l'auteur présumé, plutôt que de les mettre en présence l'un de l'autre, ce qui aurait été critiquable car susceptible d'influencer le témoin. Bien que l'appelant ait varié dans ses déclarations relatives à sa consommation de drogue, évoquant de la marijuana, voire de la cocaïne, ingérée depuis 1998, puis en fait depuis 2009, il n'en demeure pas moins qu'il a admis en consommer depuis longtemps, pour environ CHF 100.- par mois. Les verdicts de culpabilité seront partant confirmés. 1.4.1. À teneur de l'art. 115 al. 1 let. b LEtr, est puni d'une peine privative de liberté d'un an au plus ou d'une peine pécuniaire quiconque séjourne illégalement en Suisse, notamment après l'expiration de la durée du séjour non soumis à autorisation ou du séjour non autorisé. 1.4.2.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Selon la jurisprudence de la CJUE,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Le Tribunal fédéral considère qu'une peine pécuniaire, en tant qu'elle est susceptible d'entraver une procédure de retour, ne peut être infligée qu'aux mêmes conditions (arrêt du Tribunal fédéral 6B_1172/2014 du 23 novembre 2015 consid. 1.3).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La CJUE a toutefois précisé que les ressortissants de pays tiers ayant, outre le délit de séjour irrégulier, commis un ou plusieurs autres délits, pouvaient, le cas échéant, être soustraits au champ d'application de la directive (arrêt du 6 décembre 2011 C-329/11 Achughbabian , pt 41). Suivant la jurisprudence européenne, il y a donc lieu d'admettre que la Directive sur le retour n'est pas applicable aux ressortissants des pays tiers qui ont commis, outre le séjour irrégulier, un ou plusieurs autres délits (arrêt du Tribunal fédéral 6B_320/2013 du 29 août 2013 consid. 3.2, qui renvoie à l'art. 2 al. 2 let. b Directive). 1.4.3. En l'espèce, il est établi que l'appelant a séjourné en Suisse, du 15 janvier 2009 au 14 novembre 2014 et du 15 décembre 2014 au 27 janvier 2015, démuni de papiers d'identité, de domicile fixe, de moyens de subsistance et sans être au bénéfice des autorisations nécessaires. Il n’est pas nécessaire d'examiner si la décision de non entrée en matière et de renvoi, prononcée le 6 novembre 2002 et entrée en force le 16 décembre 2002, a été notifiée à l'appelant. En effet, sa condamnation pour infractions aux art. 19 al. 1 et 19a LStup, confirmée ce jour, a pour conséquence que la Directive européenne sur le retour n'est pas applicable en l'espèce et que la sanction du séjour illégal constaté est possible. L'appelant ne peut par conséquent tirer aucun avantage de la réglementation européenne, que le Tribunal fédéral a analysé à la lumière de la jurisprudence de la CJUE dans l'arrêt 6B_320/2013 précité. Rien ne permet au demeurant de penser que notre Haute Cour en ferait aujourd'hui une lecture différente. En conséquence, le verdict du premier juge sera confirmé.</w:t>
      </w:r>
    </w:p>
    <w:p>
      <w:r>
        <w:rPr>
          <w:b/>
        </w:rPr>
        <w:t>E. 1.5</w:t>
      </w:r>
    </w:p>
    <w:p>
      <w:r>
        <w:t>L'appelant ne remet pas en cause, au stade de l'appel, le verdict de culpabilité d'empêchement d'accomplir un acte officiel (art. 286 al. 1. CP), à juste titre, celui-ci étant établi à teneur du dossier, si bien qu'il sera confirmé.</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2.1.2. En matière de trafic de stupéfiants, il y a lieu de tenir compte, plus spécialement, notamment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et la nature du trafic en cause sont aussi déterminants ; l'appréciation est différente selon que l'auteur a agi de manière autonome ou comme membre d'une organisation (ATF 121 IV 202 consid. 2d/cc p. 206). L'étendue du trafic entrera également en considération ; un trafic purement local sera en règle générale considéré comme moins grave qu'un trafic avec des ramifications internationales.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ses mobiles, ses antécédents et son comportement lors de la procédure (ATF 121 IV 202 consid. 2d/aa p. 204 ; 118 IV 342 consid. 2d p. 349). 2.1.3.1.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2.1.3.2.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2.1.4.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Le juge doit prendre en considération l'opportunité de la sanction déterminée, ses effets sur l'auteur et son milieu social, ainsi que son efficacité préventive (ATF 134 IV 197 consid. 4 p. 100 ; arrêts du Tribunal fédéral 6B_714/2015 du 28 septembre 2015 consid. 1.1 et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2.1.5.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Le sursis est désormais la règle dont on ne peut s'écarter qu'en présence d'un pronostic défavorable (ATF 134 IV 1 consid. 4.2.2 p. 5-6 ; SJ 2008 I p. 277 consid. 2.1. p. 280). 2.2.1. La faute de l'appelant n'est pas négligeable, puisqu'il a commis des infractions à la LEtr, à la LStup et contre l'autorité. Nonobstant une première interpellation en novembre 2014, il s'est livré à un trafic de stupéfiants, portant à tout le moins sur 4,5 grammes de cocaïne, sur une période de deux mois. Il aurait sans doute persisté dans ses agissements s'il n'avait été interpellé une seconde fois. À chacune des deux occurrences, il a tenté de fuir et a rendu plus compliquée la tâche de la police. Il est resté en Suisse pendant de nombreuses années en l'absence de toute autorisation. Ses mobiles sont purement égoïstes, relevant de l'appât du gain s'agissant des stupéfiants, de la désinvolture face à la législation sur le statut des étrangers et à la mesure qui le frappe, pour le séjour illégal. Il a en outre par deux fois tenté de se soustraire aux forces de l'ordre pour tenter d'échapper à une condamnation, n'assumant pas les conséquences de ses actes. Il y a concours d'infractions entre les délits des art. 19 LStup et 115 LEtr. Sa collaboration a été mauvaise, tant ses déclarations ont varié. Sa prise de conscience est presque inexistante, l'appelant niant le trafic, à la faveur d'explications fantaisistes, bien qu'il ait finalement admis l'infraction d'empêchement d'accomplir un acte officiel. Sa situation personnelle, bien que précaire, ne peut justifier ses agissements dans la mesure où elle résulte de son choix de demeurer en Suisse sans droit. La présence illégale de l'appelant en Suisse, démuni de moyens de subsistance, comporte un risque élevé de réitération. L'antécédent de 2009, certes ancien, est spécifique s'agissant de l'infraction à la LStup ; l'appelant n'a d'ailleurs pas hésité à commettre de nouvelles infractions, à l'échéance du délai d'épreuve fixé à trois ans pour une peine privative de liberté de huit mois. Les occurrences du mois de janvier 2015 sont de plus survenues peu de temps après son interpellation du mois de novembre 2014, sans que cela ne le dissuade d'agir. Au vu de l'ensemble des circonstances, c'est à raison que le premier juge a retenu que les conditions du sursis n'étaient pas réalisées, le pronostic étant clairement défavorable, seule une peine ferme apparaissant apte à le détourner de la commission d'autres infractions. La situation administrative de l'appelant, l'absence de perspective de gain licite et de domicile connu et, dans une moindre mesure, son antécédent, excluent le prononcé d'une peine pécuniaire et d'un travail d'intérêt général, de sorte que c'est également à juste titre qu'une courte peine privative de liberté lui a été infligée (cf. art. 41 al. 1 CP). 2.2.2. La quotité de la peine privative de liberté doit cependant être revue d'office (art. 404 al. 2 CPP), bien que l'appelant ne formule pas de critique spécifique à cet égard. Le premier juge a en effet omis de considérer que l'empêchement d'accomplir un acte officiel était puni d'une peine pécuniaire de 30 jours-amende au plus (art. 286 al. 1 CP). La CPAR estime que cette infraction mérite une quotité de 10 jours, de sorte que la peine privative de liberté sera réduite à 80 jours. Le premier juge aurait dû prononcer une peine pécuniaire pour l'infraction à l'art. 286 CP, en plus de la courte peine privative de liberté. Il y a toutefois concours rétrospectif avec l'infraction sanctionnée le 1___ mars 2016. Une peine pécuniaire de 60 jours-amende paraît globalement adéquate, de sorte que la peine complémentaire se réduit, en l'espèce, à zéro. Le jugement sera partant réformé sur ce point. 2.2.3. L'amende de CHF 100.-, ainsi que la peine privative de liberté de substitution d'un jour, pour l'infraction à l'art. 19a LStup seront maintenues, étant précisé qu'elles n'ont pas été contestées dans leur quotité et sont en adéquation avec les éléments de la procédure.</w:t>
      </w:r>
    </w:p>
    <w:p>
      <w:r>
        <w:rPr>
          <w:b/>
        </w:rPr>
        <w:t>E. 3</w:t>
      </w:r>
    </w:p>
    <w:p>
      <w:r>
        <w:t>3.1.1.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3.1.2.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3.2</w:t>
      </w:r>
    </w:p>
    <w:p>
      <w:r>
        <w:t>Dans la mesure où l'appelant détenait un téléphone portable de marque G______ au moment de son interpellation, et qu'il n'avait pas d'autre revenu que celui provenant de cette activité illégale, la CPAR tient pour établi que cet appareil a été acquis au moyen du produit du trafic de stupéfiants, voire y a participé, étant souligné que l'appelant a tenté de s'en débarrasser lors de sa fuite. Ses déclarations s'agissant des circonstances de son acquisition, non étayées par quelconque pièce, étant loin de convaincre. La confiscation de cet appareil sera partant confirmée. Il en va de même des espèces, CHF 91,65 et EUR 30.-, lesquelles sont, à l'évidence, d'origine délictuelle, l'appelant n'ayant jamais étayé ses dires en relation avec l'amie lausannoise, dont il n'a donné que le nom sans plus de précisions. La CPAR a acquis la conviction que ces montants appartenaient à l'appelant et provenaient du trafic de stupéfiants qui lui est reproché, de sorte qu'ils doivent être confisqués. Le jugement sera confirmé sur ce point.</w:t>
      </w:r>
    </w:p>
    <w:p>
      <w:r>
        <w:rPr>
          <w:b/>
        </w:rPr>
        <w:t>E. 4</w:t>
      </w:r>
    </w:p>
    <w:p>
      <w:r>
        <w:t>L'appelant, qui succombe pour l'essentiel, supportera les trois-quarts des frais de la procédure envers l'État, qui comprennent un émolument de CHF 1'500.- (art. 428 CPP, art. 14 let. e du règlement fixant le tarif des frais en matière pénale du 22 décembre 2010 [RTFMP – E 4 10.03]). Vu la confirmation du verdict de culpabilité, il n'y a pas lieu de revoir la répartition des frais de première instance (art. 428 al. 3 CPP).</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chef d'étude CHF 200.- (let. c). En cas d'assujettissement, l'équivalent de la TVA est versé en sus.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5.2.4. La majoration forfaitaire couvre les démarches diverses, telle que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5.3</w:t>
      </w:r>
    </w:p>
    <w:p>
      <w:r>
        <w:t>En l'espèce, considéré dans sa globalité, l'état de frais produit par le défenseur d'office de A______ paraît adéquat et conforme aux principes qui précèdent, seule l'heure et demie consacrée à la déclaration d'appel devant en être retranchée, dite prestation étant incluse dans le forfait pour l'activité diverse. Une heure sera en outre comptabilisée pour tenir compte de la présence à l'audience d'appel. En conclusion, l'indemnité sera arrêtée à CHF 1'360.80, correspondant à 05h15 d'activité au tarif de CHF 200.-/heure, plus la majoration forfaitaire usuelle de 20% (CHF 210.-), compte tenu de l'activité déployée en première instance, et l'équivalent de la TVA au taux de 8% (CHF 100.80).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