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P/22263/2018 vom 3. Juni 2022</w:t>
      </w:r>
    </w:p>
    <w:p>
      <w:r>
        <w:t>GE Cour de justice, 2022-06-03, FR</w:t>
      </w:r>
    </w:p>
    <w:p>
      <w:r>
        <w:rPr>
          <w:b/>
        </w:rPr>
        <w:t xml:space="preserve">Quelle: </w:t>
      </w:r>
      <w:r>
        <w:t>https://mcp.opencaselaw.ch/entscheid/ge_gerichte_P_22263_2018</w:t>
      </w:r>
    </w:p>
    <w:p>
      <w:r>
        <w:t>FR: GE_GERICHTE P/22263/2018 du 3 juin 2022</w:t>
      </w:r>
    </w:p>
    <w:p>
      <w:r>
        <w:t>IT: GE_GERICHTE P/22263/2018 del 3 giugno 2022</w:t>
      </w:r>
    </w:p>
    <w:p>
      <w:pPr>
        <w:pStyle w:val="Heading2"/>
      </w:pPr>
      <w:r>
        <w:t>Regeste</w:t>
      </w:r>
    </w:p>
    <w:p>
      <w:r>
        <w:t>RECEL | CP.160;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(Pacte II), 6 § 2 de la Convention de sauvegarde des droits de l'homme et des libertés fondamentales (CEDH), 32 al. 1 de la Constitution fédérale de la Confédération suisse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127 I 38 consid. 2a). 2.1.2.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6B_708/2020 du 11 mars 2021 consid. 2.1.1).</w:t>
      </w:r>
    </w:p>
    <w:p>
      <w:r>
        <w:rPr>
          <w:b/>
        </w:rPr>
        <w:t>E. 2.2</w:t>
      </w:r>
    </w:p>
    <w:p>
      <w:r>
        <w:t>L'art. 160 CP sanctionne le comportement de celui qui aura acquis, reçu en don ou en gage, dissimulé ou aidé à négocier une chose dont il savait ou devait présumer qu'un tiers l'avait obtenue au moyen d'une infraction contre le patrimoine. Au plan objectif, l'infraction de recel suppose une chose obtenue au moyen d'une infraction contre le patrimoine, notion qui s'entend de manière large et englobe toute infraction dirigée contre le patrimoine d'autrui (ATF 127 IV 79 consid. 2a et b p. 81 ss).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Tribunal fédéral 6B_641/2017 du 1 er juin 2018 consid. 1.1). L'illicéité du recel réside dans le fait que les actes concernés font perdurer une situation contraire au droit, généré par la commission de l'infraction préalable (M. DUPUIS et al. , op. cit. , n. 2 ad art. 160). Le recel protège ainsi le droit de la personne lésée à récupérer la chose qui lui a été enlevée de manière délictueuse (ATF 116 IV 99 consid. b). Il exige que l'infraction antérieure soit déjà consommée, par un tiers, et qu'il s'agisse d'une infraction contre le patrimoine d'autrui générant un droit à restitution. Il est toutefois conçu comme une infraction indépendante de cette première infraction, ce qui implique que le for pour le receleur se détermine de manière autonome (ATF 77 IV 123 consid. 1). La dissimulation désigne tout comportement par lequel l'auteur rend plus difficile ou empêche la découverte de l'objet de l'infraction. L'acte de dissimulation peut consister à cacher la chose, à la déplacer dans un lieu où l'on ne se doute pas de sa présence, à la revendre, à faire de fausses déclarations, par exemple à la police, ou à procéder à une mise en scène pour dissimuler sa localisation (M. DUPUIS et al. , op. cit. , n. 21 ad art. 160).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p. 236 s. et les références à ATF 119 IV 242 consid. 2b p. 247 ; 101 IV 402 consid. 2 p. 405 s. ; arrêt du Tribunal fédéral 6B_641/2017 du 1 er juin 2018 consid. 1.1).</w:t>
      </w:r>
    </w:p>
    <w:p>
      <w:r>
        <w:rPr>
          <w:b/>
        </w:rPr>
        <w:t>E. 2.3</w:t>
      </w:r>
    </w:p>
    <w:p>
      <w:r>
        <w:t>Selon l'art. 172ter al. 1 CP, applicable aux infractions du titre 2 de la partie spéciale du CP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w:t>
      </w:r>
    </w:p>
    <w:p>
      <w:r>
        <w:rPr>
          <w:b/>
        </w:rPr>
        <w:t>E. 2.4</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 2.5.1. En l'espèce, il est établi que l'appelant a cherché à récupérer le sac contenant les affaires qu'il conservait à l'appartement, en demandant à une connaissance de s'en charger et, spécifiquement, de les amener dans une épicerie à L______. Le fait qu'il n'a pas voulu amener ces objets à S______ chez sa mère, comme le reste de ses affaires, est un indice de ce qu'il savait, ou présumait que ce sac contenait des objets d'origine illicite et qu'il fallait éviter de passer la frontière en possession de celui-ci et le dissimuler en un lieu où l'on ne pouvait se douter de sa présence. Les explications de l'appelant quant au fait que ces biens avaient été laissés dans l'appartement et non déposés au pied de l'immeuble comme les autres car il s'agissait d'affaires "très personnelles" qu'il avait acquises légitimement, au marché aux puces ou dans les déchets, ne convainquent nullement. Ainsi qu'il l'explique lui-même, il s'agissait d'objets en grande partie abîmés ou dénués de toute utilité. Il en va ainsi par exemple de la multitude de téléphones portables et de cartes SIM, détenues sans téléphone, dont il n'avait manifestement pas besoin, de même que des divers portemonnaies, des cartes de fitness ou de visite, des cartes SD dont certaines comprenaient des photographies de vacances ne le concernant pas. Ces objets n'avaient aucune utilité ou valeur sentimentale pour l'appelant. Dans ce contexte, ses déclarations, relatives à une acquisition légitime de ces objets et à son attachement supposé à ceux-ci ne convainquent d'aucune manière, le fait qu'il connaisse le prix sur le marché de certains de ces objets ne lui étant du reste d'aucun soutien. Elles apparaissent avoir été formulées dans le but de précisément masquer leur acquisition illicite, étant précisé que ses allégations selon lesquelles il serait atteint du syndrome de Diogène ne trouvent aucun ancrage dans la procédure. Concernant le grief élevé en particulier par l'appelant relatif aux trois cartes SD mentionnées par l'accusation, il est établi qu'elles étaient contenues dans des téléphones dérobés, qu'une plainte a été déposé pour l'un de ces vols et que ces cartes faisaient partie des objets contenus dans le sac, de sorte que l'appelant n'ignorait manifestement pas, au vu de leur nature, les avoir acquises de manière illégale, ou du moins, le soupçonnait fortement, en dépit de ses dénégations. Cela étant, la question de savoir si une unité d'action peut être retenue quant à l'acquisition par l'appelant des objets visés peut rester indécise, dès lors qu'on ignore les circonstances précises de ses entrées en possession, lesquelles peuvent rester indécises. La qualification de recel ne s'épuise, en effet, pas par cette acquisition, mais vise également la dissimulation de tels objets, telle que le retient, au demeurant, l'acte d'accusation. Or, au vu de la conservation dans l'appartement de C______ puis du regroupement des objets en question, dans un même sac, et son dépôt au kiosque évoqué, il doit être retenu qu'il entendait bien faire perdurer sa possession illicite sur l'ensemble des éléments saisis, les dissimulant de la sorte, quand bien même il ne cherchait pas nécessairement à en revendre l'intégralité, plusieurs d'entre eux étant effectivement abîmés ou inutilisables. Il sera relevé à ce propos que l'appelant a expliqué avoir conservé les nombreuses cartes SIM contenues dans le sac parce qu'elles comprenaient de l'or, si bien qu'il cherchait manifestement à en tirer un profit économique. Il doit également être retenu que l'appelant n'ignorait pas que la valeur globale des biens en cause excédait CHF 300.-, au vu de la multitude d'objets concernés, dont deux paires de lunettes de marque de luxe. En conséquence, le verdict de culpabilité rendu à l'encontre de l'appelant pour recel doit être confirmé s'agissant des faits visés supra , au point B.c.a. et ss. 2.5.2. En revanche, le dossier ne contient aucun élément permettant de tenir pour établi que l'appelant a servi d'intermédiaire pour la revente d'objets provenant d'une infraction. En effet ses déclarations selon lesquelles il mettait en contact des connaissances ayant des biens à vendre avec des dealers ou des receleurs, rétractées ensuite, sont peu probantes, l'intéressé les ayant faites alors qu'il était entendu au sujet du trafic de stupéfiants et des cambriolages initialement reprochés et dont on peut présumer qu'il cherchait à se disculper. Il a d'ailleurs livré des déclarations confuses et contradictoires à ce propos, expliquant notamment que les photographies du paquet de cocaïne de 23.5 gr retrouvées dans son téléphone correspondaient à la drogue qu'il avait reçue gratuitement pour son activité d'intermédiaire ou encore qu'il s'agissait de la drogue qu'il avait achetée à H______ pour sa propre consommation, ce qui est peu probable au vu de la quantité en cause. Il a également déclaré qu'il n'avait jamais été en contact avec des armes, alors qu'une image le montre exhibant un pistolet. Ces déclarations peu cohérentes n'ont pas fait l'objet de vérification et aucun élément ne permet donc de leur donner quelque consistance. L'on ignore en particulier pour quels objets l'appelant aurait servi d'intermédiaire, pour quelle valeur ou encore où et quand il aurait agi. Rien n'indique en effet que les faits reprochés auraient été commis en Suisse quand bien même il y résidait durant la période pénale, étant relevé qu'il retournait régulièrement à S______ comme en témoigne notamment son interpellation le 7 février 2019 à la douane de Thônex-Vallard en provenance de France. Le fait qu'il ait conservé et dissimulé le sac évoqué plus haut contenant des objets de provenance douteuse en Suisse n'y change rien, aucun lien ne pouvant être fait, à teneur du dossier, avec ce complexe de faits. Les déclarations initiales de l'appelant ne peuvent ainsi pas être prises au mot et ne suffisent pas à asseoir un verdict de culpabilité, de sorte qu'il convient d'écarter l'infraction de recel pour les faits visés sous B.b.a et ss. L'appel sera admis sur ce point.</w:t>
      </w:r>
    </w:p>
    <w:p>
      <w:r>
        <w:rPr>
          <w:b/>
        </w:rPr>
        <w:t>E. 3</w:t>
      </w:r>
    </w:p>
    <w:p>
      <w:r>
        <w:t>3.1.1. L'infraction de recel est sanctionnée d'une peine privative de liberté de cinq ans au plus ou d'une peine pécuniaire (art. 160 ch. 1 al.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 pour l'infraction de recel est non négligeable. Il a détenu et dissimulé une multitude d'objets de provenance douteuse, dont des cartes SD initialement contenues dans des téléphones portables volés, en envisageant et acceptant une telle provenance illicite. Ce faisant, il a contribué à la dissimulation du butin du crime et a cherché à rendre plus difficile la restitution de leurs biens aux lésés. Il a un antécédent, non spécifique. Sa collaboration et sa prise de conscience sont mauvaises puisqu'il persiste à nier les faits et qu'il n'a présenté aucun regret ou excuse. Compte tenu de ses éléments, une peine de 90 jours-amende, sous déduction de 49 jours-amende, correspondant à 49 jours de détention avant jugement (art. 51 CP), paraît justifiée même en considérant l'acquittement prononcé pour une partie des faits, et le montant du jour-amende arrêté à CHF 10.-, adéquat, au regard de la situation financière de l'appelant. L'octroi du sursis et la durée du délai d'épreuve de deux ans, non contestés en appel, sont acquis à l'appelant.</w:t>
      </w:r>
    </w:p>
    <w:p>
      <w:r>
        <w:rPr>
          <w:b/>
        </w:rPr>
        <w:t>E. 4</w:t>
      </w:r>
    </w:p>
    <w:p>
      <w:r>
        <w:t>Les confiscations, destructions et restitutions prononcées par le TP, justifiées, seront confirmées (art. 267 al. 1 et 3 CPP et 69 CP).</w:t>
      </w:r>
    </w:p>
    <w:p>
      <w:r>
        <w:rPr>
          <w:b/>
        </w:rPr>
        <w:t>E. 5.1</w:t>
      </w:r>
    </w:p>
    <w:p>
      <w:r>
        <w:t>L'appelant, qui obtient partiellement gain de cause, supportera la moitié des frais de la procédure envers l'État (art. 428 CPP), de même que la moitié de l'émolument complémentaire de jugement fixé par le TP. 5.2.1 Acquitté du chef de recel en lien avec les faits visés sous B.b.a et ss, il se justifie de laisser les frais de la procédure préliminaire et de première instance afférents à ce chef d'accusation à charge de l'Etat, étant précisé qu'il n'a pas nécessité d'actes d'instruction particuliers. Une réduction des frais de 20% paraît dès lors justifiée et l'appelant supportera par conséquent les 80% desdits frais. 5.2.2. Aux termes de l'art. 51 CP, le juge impute sur la peine la détention avant jugement subie par l'auteur dans le cadre de l'affaire qui vient d'être jugée ou d'une autre procédure. Il découle de cette disposition que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 arrêt du Tribunal fédéral 6B_671/2016 du 17 mai 2017 consid. 1.1). Au vu de ce qui précède, l'appelant doit être débouté de ses conclusions en indemnisation (art. 429 al. 1 let. c CPP).</w:t>
      </w:r>
    </w:p>
    <w:p>
      <w:r>
        <w:rPr>
          <w:b/>
        </w:rPr>
        <w:t>E. 6</w:t>
      </w:r>
    </w:p>
    <w:p>
      <w:r>
        <w:t>6.1. Selon l'art. 135 al. 1 CPP, le défenseur d'office ou le conseil juridique gratuit ( cf. art. 138 al. 1 CPP) est indemnisé conformément au tarif des avocats de la Confédération ou du canton du for du procès, soit en l'occurrence, à Genève, CHF 200.-/h pour un chef d'Etude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il sera retranché de l'état de frais de M e B______ l'activité consacrée à la rédaction de la déclaration d'appel, celle-ci étant couverte par le forfait. La préparation du bordereau de pièces et la finalisation du mémoire d’appel, qui constitue une activité purement administrative également comprise dans le forfait, ne sera pas non plus comptabilisée. Le temps dédié à la rédaction de cette écriture est excessif, le dossier étant réputé bien maîtrisé par l'avocat pour avoir été plaidé en première instance il y a peu, étant précisé qu'il n'a connu aucun rebondissement en appel. L'activité y relative sera partant réduite à six heures. En conclusion, la rémunération sera arrêtée à CHF 1'421.65 correspondant à six heures d'activité au tarif de CHF 200.-/heure plus la majoration forfaitaire de 10% au vu de l'activité déployée en première instance, et l'équivalent de la TVA au taux de 7.7% en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