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P/22253/2021 vom 22. August 2023</w:t>
      </w:r>
    </w:p>
    <w:p>
      <w:r>
        <w:t>GE Cour de justice, 2023-08-22, FR</w:t>
      </w:r>
    </w:p>
    <w:p>
      <w:r>
        <w:rPr>
          <w:b/>
        </w:rPr>
        <w:t xml:space="preserve">Quelle: </w:t>
      </w:r>
      <w:r>
        <w:t>https://mcp.opencaselaw.ch/entscheid/ge_gerichte_P_22253_2021</w:t>
      </w:r>
    </w:p>
    <w:p>
      <w:r>
        <w:t>FR: GE_GERICHTE P/22253/2021 du 22 août 2023</w:t>
      </w:r>
    </w:p>
    <w:p>
      <w:r>
        <w:t>IT: GE_GERICHTE P/22253/2021 del 22 agosto 2023</w:t>
      </w:r>
    </w:p>
    <w:p>
      <w:pPr>
        <w:pStyle w:val="Heading2"/>
      </w:pPr>
      <w:r>
        <w:t>Regeste</w:t>
      </w:r>
    </w:p>
    <w:p>
      <w:r>
        <w:t>ESCROQUERIE;PAR MÉTIER;INDEMNITÉ POUR DÉTENTION;SÉJOUR ILLÉGAL;INFRACTION D'IMPORTANCE MINEURE;ENTRÉE ILLÉGALE;DISPOSITIONS PÉNALES DE LA LEI;EXPULSION(DROIT PÉNAL);PEINE COMPLÉMENTAIRE | CP.146.al1; LEI.115.al1.leta; LEI.115.al1.letb; LEI.115.al1.letc; CP.146.al2; CP.172ter; CP.49.al2; CPP.429.al1.letC; CPP.431.al2</w:t>
      </w:r>
    </w:p>
    <w:p>
      <w:pPr>
        <w:pStyle w:val="Heading2"/>
      </w:pPr>
      <w:r>
        <w:t>Erwägungen</w:t>
      </w:r>
    </w:p>
    <w:p>
      <w:r>
        <w:rPr>
          <w:b/>
        </w:rPr>
        <w:t>E. 1</w:t>
      </w:r>
    </w:p>
    <w:p>
      <w:r>
        <w:t>L'appel est recevable pour avoir été interjeté et motivé selon la forme et dans les délais prescrits (art. 398 et 399 CPP). La Chambre limite son examen aux violations décrites dans l'acte d'appel (art. 404 al. 1 CPP), sauf en cas de décisions illégales ou inéquitables (art. 404 al. 2 CPP).</w:t>
      </w:r>
    </w:p>
    <w:p>
      <w:r>
        <w:rPr>
          <w:b/>
        </w:rPr>
        <w:t>E. 2.1</w:t>
      </w:r>
    </w:p>
    <w:p>
      <w:r>
        <w:t>Après l'ouverture des débats d'appel, la Cour ou les parties peuvent soulever des questions préjudicielles, notamment concernant le dossier et les preuves recueillies (art. 339 al. 2 et 3 cum art. 405 al. 2 CPP).</w:t>
      </w:r>
    </w:p>
    <w:p>
      <w:r>
        <w:rPr>
          <w:b/>
        </w:rPr>
        <w:t>E. 2.2</w:t>
      </w:r>
    </w:p>
    <w:p>
      <w:r>
        <w:t>Selon l'art. 389 al. 1 CPP, la procédure de recours se fonde sur les preuves administrées pendant la procédure préliminaire et la procédure de première instance ; l'administration des preuves du tribunal de première instance n'est répétée (al. 2) que si les dispositions en matière de preuves ont été enfreintes (let. a), l'administration des preuves était incomplète (let. b) ou les pièces relatives à l'administration des preuves ne semblent pas fiables (let. c). L'art. 389 al. 3 CPP règle les preuves complémentaires. Ainsi, la juridiction de recours peut administrer, d'office ou à la demande d'une partie, les preuves complémentaires nécessaires au traitement du recours (arrêt du Tribunal fédéral 6B_78/2012 du 27 août 2012 consid. 3.1).</w:t>
      </w:r>
    </w:p>
    <w:p>
      <w:r>
        <w:rPr>
          <w:b/>
        </w:rPr>
        <w:t>E. 2.3</w:t>
      </w:r>
    </w:p>
    <w:p>
      <w:r>
        <w:t>Est partie plaignante le lésé qui déclare expressément vouloir participer à la procédure pénale comme demandeur au pénal ou au civil (art. 118 al. 1 CPP).</w:t>
      </w:r>
    </w:p>
    <w:p>
      <w:r>
        <w:rPr>
          <w:b/>
        </w:rPr>
        <w:t>E. 2.4</w:t>
      </w:r>
    </w:p>
    <w:p>
      <w:r>
        <w:t>La question de la qualité de partie plaignante de l'intimée D______, laquelle est en tout état indépendante de la prescription de l'action pénale de l'infraction la concernant, est sans pertinence puisque dite infraction doit être classée, ce que le TP avait au demeurant omis de faire (cf. infra 3.5.5.2). Une seconde audition de l'intimée E______ n'apporterait aucun élément nouveau et pertinent, ce d'autant qu'elle avait déposé plainte contre inconnu, ce qui rendrait inutile une confrontation avec l'appelant. Par conséquent, les questions préjudicielles doivent être rejetées.</w:t>
      </w:r>
    </w:p>
    <w:p>
      <w:r>
        <w:rPr>
          <w:b/>
        </w:rPr>
        <w:t>E. 3</w:t>
      </w:r>
    </w:p>
    <w:p>
      <w:r>
        <w:t>3.1. Le principe in dubio pro reo, qui découle de la présomption d'innocence, garantie par l'art. 6 ch. 2 de la Convention de sauvegarde des droits de l'homme et des libertés fondamentales (CEDH) et, sur le plan interne, par les art. 32 al. 1 de la Constitution fédérale de la Confédération suisse (Cst.) et 10 al. 3 CPP, concerne tant le fardeau de la preuve que l'appréciation des preuves au sens large (ATF 144 IV 345 consid. 2.2.3.1).</w:t>
      </w:r>
    </w:p>
    <w:p>
      <w:r>
        <w:rPr>
          <w:b/>
        </w:rPr>
        <w:t>E. 3.2</w:t>
      </w:r>
    </w:p>
    <w:p>
      <w:r>
        <w:t>En tant que règle sur le fardeau de la preuve, la présomption d'innocence signifie, au stade du jugement, que ce fardeau incombe à l'accusation et que le doute doit profiter au prévenu. La présomption d'innocence est violée lorsque le juge rend un verdict de culpabilité au seul motif que le prévenu n'a pas prouvé son innocence (ATF 127 I 38 consid. 2a) ou encore lorsque le juge condamne le prévenu au seul motif que sa culpabilité est plus vraisemblable que son innocence. En revanche, l'absence de doute à l'issue de l'appréciation des preuves exclut la violation de la présomption d'innocence en tant que règle sur le fardeau de la preuve.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w:t>
      </w:r>
    </w:p>
    <w:p>
      <w:r>
        <w:rPr>
          <w:b/>
        </w:rPr>
        <w:t>E. 3.3</w:t>
      </w:r>
    </w:p>
    <w:p>
      <w:r>
        <w:t>Le juge du fait dispose d'un large pouvoir dans l'appréciation des preuve (ATF 120 Ia 31 consid. 4b).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(arrêts du Tribunal fédéral 6B_623/2012 du 6 février 2013 consid. 2.1 et 6B_642/2012 du 22 janvier 2013 consid. 1.1). Rien ne s'oppose à ce que le juge ne retienne qu'une partie des déclarations d'un témoin globalement crédible (ATF 120 Ia 31 consid. 3 ; arrêt du Tribunal fédéral 6B_637/2012 du 21 janvier 2013 consid. 5.4). Faute d'aveux de l'auteur, le juge ne peut, en règle générale, déduire la volonté interne de l'intéressé qu'en se fondant sur des indices extérieurs et des règles d'expérience. Font partie de ces circonstances l'importance, connue de l'auteur, de la réalisation du risque, la gravité de sa violation du devoir de diligence, ses mobiles et sa façon d'agir (arrêt du Tribunal fédéral 6B_38/2021 du 14 février 2022 consid. 3.3). 3.4.1. Se rend coupable d'escroquerie quiconque, dans le dessein de se procurer ou de procurer à un tiers un enrichissement illégitime, induit astucieusement en erreur une personne par des affirmations fallacieuses ou par la dissimulation de faits vrais ou la conforte astucieusement dans son erreur et détermine de la sorte la victime à des actes préjudiciables à ses intérêts pécuniaires ou à ceux d'un tiers (art. 146 al. 1 CP). 3.4.2. L'escroquerie implique que l'erreur ait déterminé la dupe à disposer de son patrimoine. Il faut ainsi un acte de disposition effectué par la dupe et un lien de motivation entre cet acte et l'erreur. L'acte de disposition est constitué par tout acte ou omission qui entraîne directement un préjudice au patrimoine (ATF 128 IV 255 consid. 2e/aa). Il n'est pas nécessaire que le dommage corresponde à l'enrichissement de l'auteur, ni qu'il soit chiffré ; il suffit qu'il soit certain (ATF 123 IV 17 consid. 3d ; 122 IV 279 consid. 2a ; 121 IV 104 consid. 2c). L'enrichissement de l'auteur ou d'un tiers n'est pas une condition objective de punissabilité (ATF 119 IV 210 consid. 4b ; arrêt du Tribunal fédéral 6B_541/2011 du 18 octobre 2011 consid. 5.1). 3.4.3. Une simple tromperie ne suffit pas pour que l'infraction soit réalisée ; il faut qu'elle soit astucieuse. L'astuce survient, en particulier, lorsque l'auteur recourt à une mise en scène comportant des documents ou des actes ou à un édifice de mensonges qui se recoupent de façon si raffinée que même une victime critique se laisserait tromper. Il y a manœuvre frauduleuse, par exemple, si l'auteur emploie un document faux ou fait intervenir, à l'appui de sa tromperie, un tiers participant ou manipulé. L'utilisation abusive de documents appartient aux manœuvres frauduleuses, qui constituent la tromperie astucieuse, du moins lorsqu'un contrôle n'est pas possible ou qu'il paraît probable que la victime n'y procèdera pas (ATF 142 IV 153 consid. 2.2.2 ; 135 IV 76 consid. 5.2 ; 122 IV 197 consid. 3d ; 120 IV 122 consid. 6b). 3.4.4. Le juge pénal n'a pas à accorder sa protection à celui qui est tombé dans un piège qu'un peu d'attention et de réflexion lui aurait permis d'éviter. L'astuce n'est ainsi pas réalisée en pareilles circonstances. Il n'est pas nécessaire, pour qu'il y ait escroquerie, que la dupe ait fait preuve de la plus grande diligence et qu'elle ait recouru à toutes les mesures de prudence possibles. En effet, le devoir de vérification de la dupe n'est pas illimité, même lorsque celle-ci est une entité supposée disposer de connaissances professionnelles accrues et faire preuve d'une attention plus élevée dans le traitement de ses affaires. Une coresponsabilité de la dupe n'exclut l'astuce que dans des cas exceptionnels, à savoir si cette dernière n'a pas procédé aux vérifications élémentaires, exigibles de sa part au vu des circonstances. Même un degré de naïveté important ne conduit pas, en tous les cas, à l'acquittement du prévenu. Pour apprécier si l'auteur a usé d'astuce et si la dupe a omis de prendre des mesures de prudence élémentaires, il ne suffit pas de se demander comment une personne raisonnable et expérimentée aurait réagi à la tromperie. Il faut, au contraire, prendre en considération la situation particulière de la dupe, telle que l'auteur la connaît et l'exploite. Pour songer à opérer une vérification aussi aisée soit-elle (par exemple : un appel téléphonique), la dupe doit également déjà avoir une raison particulière de se méfier (ATF 142 IV 153 consid. 2.2.2 ; 135 IV 76 consid. 5.2 ; 128 IV 18 consid. 3a ; 126 IV 165 consid. 2a ; arrêts du Tribunal fédéral 6B_136/2017 du 17 novembre 2017 consid. 3.4 ; 6B_501/2014 du 27 octobre 2014 consid. 2.1 ; 6B_783/2009 du 12 janvier 2010 consid. 3.1). 3.4.5.1. Quiconque promet une prestation sans avoir l'intention de l'exécuter agit astucieusement parce qu'en promettant, il donne le change sur ses véritables intentions, ce que sa victime est dans l'impossibilité de vérifier (ATF 118 IV 359 consid. 2 ; arrêt du Tribunal fédéral 6B_1141/2017 du 7 juin 2018 consid. 1.2.1). Une tromperie sur la volonté affichée n'est cependant pas astucieuse dans tous les cas, mais seulement lorsque l'examen de la solvabilité n'est pas exigible ou est impossible et qu'il ne peut par conséquent être tiré aucune conclusion quant à la volonté de l'auteur de s'exécuter (ATF 125 IV 124 consid. 3a). Il est trop schématique d'affirmer que la volonté affichée est un phénomène intérieur invérifiable et qu'une tromperie relative à cette volonté est toujours astucieuse (ATF 118 IV 359 consid. 2 ; arrêt du Tribunal fédéral 6B_584/2018 du 30 août 2018 consid. 2.1). L'auteur qui conclut un contrat ayant d'emblée la volonté de ne pas fournir sa prestation agira de façon astucieuse dans le cas d'opérations courantes, de faible valeur, pour lesquelles une vérification entraînerait des frais ou une perte de temps disproportionnés ou ne peut être exigée pour des raisons commerciales. 3.4.5.2. Quiconque, dans le cadre d'une vente conclue sur internet, livre contre facture un produit d'une importante valeur marchande à un inconnu sans examiner, au moins de manière sommaire, la solvabilité de celui-ci omet de prendre les précautions les plus élémentaires et agit avec légèreté. La commande par un particulier d'une imprimante à haute performance pour un prix de CHF 2'200.- ne constitue pas une opération courante. La tromperie astucieuse a été niée dans le cas d'un acheteur qui n'avait ni la volonté, ni la capacité de fournir sa prestation (ATF 142 IV 153 consid. 2.2.4). 3.4.6. Si le plan élaboré par l'auteur était objectivement astucieux et que la tromperie échoue parce que la victime était plus attentive ou plus avisée que l'auteur ne se l'était figuré ou en raison du hasard ou d'une autre circonstance non prévisible, il y a alors lieu de retenir une tentative d'escroquerie (ATF 128 IV 18 consid. 3b ; ATF 122 IV 246 consid. 3c). 3.4.7. Sur le plan subjectif, l'escroquerie est une infraction intentionnelle. L'intention doit porter sur tous les éléments constitutifs de l'infraction. Il faut en particulier que l'auteur ait eu l'intention de commettre une tromperie astucieuse (ATF 128 IV 18 consid. 3b). 3.4.8. L'auteur agit par métier lorsqu'il résulte du temps et des moyens qu'il consacre à ses agissements délictueux, de la fréquence des actes pendant une période déterminée, ainsi que des revenus envisagés ou obtenus, qu'il exerce son activité coupable à la manière d'une profession, même accessoire. Il faut que l'auteur aspire à obtenir des revenus relativement réguliers représentant un apport notable au financement de son genre de vie et qu'il se soit ainsi, d'une certaine façon, installé dans la délinquance (ATF 129 IV 253 c. 2.1 ; arrêt du Tribunal fédéral 6B_1240/2015 du 7 juillet 2016 consid. 1.1). La qualification de métier n'est admise que si l'auteur a déjà agi à plusieurs reprises (ATF 119 IV 129 consid. 3a ; 116 IV 319 consid. 3b ; arrêt du Tribunal fédéral 6B_117/2015 du 11 février 2016 consid. 24.1). Les seules infractions tentées ne réalisent pas cette condition (arrêt du Tribunal fédéral 6S.89/2005 du 11 mai 2006 consid. 3.3). Le fait que la tentative est absorbée par le délit consommé par métier lorsque l'auteur a commis plusieurs tentatives et des délits consommés (ATF 123 IV 113 consid. 2d) ne s'oppose pas à ce principe (arrêt du Tribunal fédéral 6B_1311/2017 du 23 août 2018 consid. 3.3). 3.4.9. Si l’acte ne visait qu’un élément patrimonial de faible valeur ou un dommage de moindre importance, l’auteur sera, sur plainte, puni d’une amende (art. 172 ter al. 1 CP). Tel sera le cas si l'élément patrimonial ou le dommage ne dépasse pas CHF 300.- (ATF 123 IV 113 consid. 3d), étant rappelé qu'est déterminante l'intention de l'auteur (ATF 122 IV 126 consid. 2a). 3.5.1. À titre liminaire, il est relevé que, selon la plaidoirie de la défense, les faits reprochés n'apparaissent pas en tant que tels contestés, l'argumentation portant plutôt sur des points techniques du dossier. 3.5.2.1. L'appelant nie toutefois être l'auteur des commandes litigieuses, alors qu'un faisceau d'indices converge vers sa culpabilité. 3.5.2.2. Seront retenues à charge de l'appelant ses propres déclarations selon lesquelles il a squatté la villa de l'avenue 15_____ no. a______ de décembre 2020 à février 2021, habitation qu'il savait donc inoccupée à cette période. Cela suffit à lui imputer les commandes effectuées à cette adresse dès son emménagement, la thèse du second occupant apparaissant théorique (cf. 6 à 41 et 48 à 78). À cela s'ajoute le fait que figure au feutre noir son patronyme, ainsi que les noms " Q______ ", " AP_____ " et " AJ______/AL______/AN______ " sur la boîte aux lettres, de sorte que l'on peut en inférer qu'il attendait des envois sous ces différentes identités (cf. 30 à 33, 35, 36, 38 à 41, 48, 59 à 68, 70 à 76). Les commandes effectuées à cette première adresse permettent également de conclure qu'il a orchestré les occurrences 3, 80, 88, 90, dans la mesure où il a utilisé une identité et/ou une adresse électronique identique(s) (8______@outlook,com, 16_____@outlook.com et 45_____@outlook.com). Les documents trouvés lors de la perquisition au chemin 35_____ achèvent de faire le lien avec le chemin 12_____ no. b______ de même qu'avec l'avenue 15_____ no. a______, sans préjudice du fait que ces lieux sont géographiquement très proches. 3.5.2.3. Deux témoins ainsi qu'une voisine, dépourvus d'intérêts dans la procédure, ont indiqué avoir vu un individu correspondant à la description du prévenu attendre devant deux des adresses concernées et se présenter au guichet avec sa carte d'identité pour récupérer un colis destiné à une adresse inoccupée. À cet égard, les explications du prévenu concernant la perte de sa carte d'identité ne convainquent pas, dès lors qu'il ne suffit pas de déclarer avoir perdu un document pour l'établir. 3.5.2.4. Outre ce qui précède, toutes les commandes ont été passées avec un élément présentant un lien avec l'appelant, sans qu'il ne soit en mesure de l'expliquer. La marchandise a été commandée à son nom (cf. 39 et 41), à celui de proches (ex-compagne " D______ " [cf. 1]), ex-employeur (" N______ ") ou prétendu ami (" BE_____ ") ou un dérivé de ceux-ci (" I______/Y______/AZ______ [prénoms masculins de D______]/AM_____/Y______ / AZ______ [noms similaires/identiques à D______] " [cf. 5, 37, 69, 90 et 91], " AT_____ [prénom/nom similaire à A______] " [cf. 48 et 76], "AQ_____ [prénom similaire/nom de A______]" [cf. 72 à 75] " AJ______/AL______/AN______ [noms de BE______] " [cf. 30 à 33, 36, 38, 60 à 69], " AD_____ [nom de N______ ] " [cf. 58 et 59]). Une adresse électronique similaire à celle retrouvée dans le téléphone de l'appelant, à savoir contenant le nom " 33_____ ", a servi aux commandes 72 à 75 et 92 à 95, parfois accolé au prénom du prévenu (cf. 2, 43 à 47, 70, 71 81 à 85), ou au nom de famille de sa mère (cf. 4, 25, 57, 58, 78). L'adresse électronique de son ex-compagne a été utilisée à trois reprises (cf. 1, 52 et 65), de même que sa propre adresse (celle inscrite dans le formulaire BI_____) et son numéro de téléphone (cf. 1,5, 62 à 64, 69, 90 et 91), sans aucun élément permettant de retenir une usurpation. La commande 13 a été passée avec une carte de crédit au nom de l'appelant, étant observé qu'il concède avoir réglé des factures par ce moyen, et permet de le relier à toutes les occurrences impliquant l'intimée E______ ou un dérivé de ce nom (cf. 6 à 20, 26 à 29, 34, 49 à 56, 77). 3.5.3. Cela étant, dans la mesure où il est impossible d'établir le montant de base des commandes 27 à 29, 78, 79, 87, 92, 96 ainsi que la date de la transaction, celles-ci apparaissent insuffisamment étayées, faute de facture, pour être retenues à charge de l'appelant, et seront écartées. Il en va de même des commande 18 à 20 dans la mesure où elles n'ont pas été détaillées dans l'acte d'accusation, sans compter qu'elles ont été passées à une date indéterminée, et de la commande 34 puisque le TP ne l'a pas retenue (à juste titre puisqu'elle n'était pas non plus suffisamment détaillée dans l'acte d'accusation). Devront être écartées les commandes 6 et 13, dans la mesure où il ressort du dossier qu'elles ont été réglées (cf. A-72 et 73). Les frais de rappels, de sommation et poursuites seront soustraits, car ils n'ont pas trait à la valeur de la marchandise commandée (cf. 21, 29 et 42). 3.5.4. Au vu de ce qui précède, il est établi que l'appelant est bien l'auteur de toutes les autres commandes litigeuses, sous réserve des limites développées supra. 3.5.5. Vu la nature des biens commandés, de même que leur prix, on ne pouvait pas exiger une vérification particulière des entreprises lésées, et cela même si elles étaient conscientes du risque d'un paiement sur facture. L'appelant ne s'est pas contenté de falsifier son nom, mais a commandé auprès de plusieurs boutiques en ligne des objets courants, sous de nombreuses fausses identités, à quelques jours d'intervalle, rendant vaine toute vérification, puis tentative de recouvrement. Il n'a jamais eu l'intention, ni même eu les moyens de s'acquitter des factures reçues. La situation de l'arrêt AARP/174/2015 du 26 mars 2015 n'est pas différente du cas d'espèce puisqu'il en ressort précisément que les lésés n'avaient procédé à aucun contrôle, ce que la condamnée avait anticipé, à l'instar de l'appelant, et qu'aucun reproche ne pouvait leur être fait au vu du type d'opérations. Ainsi, la tromperie doit être qualifiée d'astucieuse. 3.5.6.1. Il n'y a pas une unique période pénale. Les faits commis entre décembre 2020 et juin 2021 doivent être examinés ensemble vu l'intensité de l'activité durant ce laps de temps, alors que ceux précédant/suivant cette période relèvent d'infractions indépendantes les unes des autres. Les commandes 1 et 42 doivent dès lors être classées, car elles portent sur des montants de faibles importance (art. 172 ter CP), de sorte que la première est prescrite (art. 109 CP) et la seconde n'a pas fait l'objet d'une plainte. En revanche, l'appelant devra être reconnu coupable d'escroquerie d'importance mineure (art. 172 ter CP) effectuée le 27 juin 2020. 3.5.6.2 . Sur six mois (de décembre 2020 et jusqu'au 3 juin 2021), l'appelant a procédé à plus de 80 commandes et s'est enrichi illégitimement à hauteur de CHF 3'673.50, tout en espérant un gain supplémentaire de CHF 7'269.20. S'il devait imaginer que certains achats n'aboutiraient pas, son intention portait néanmoins sur l'intégralité des commandes, soit un gain mensuel envisagé de plus de CHF 1'823.-. Cette somme dépasse le cas " bagatelle " plaidé par la défense, étant observé qu'elle excède même les revenus que le prévenu dit réaliser en Italie. 3.5.6.3. Il ne suffisait pas d'un clic de quelques secondes pour réaliser l'ensemble des actes incriminés. L'appelant devait repérer les adresses inoccupées, inventer des noms et adresses cohérentes, gérer la réception de la marchandise, ce qui est chronophage et implique une certaine méthode. Ainsi, son organisation relevait d'une véritable activité qui l'occupait une importante partie de son temps, de sorte qu'il s'est en effet installé dans la délinquance à l'instar d'un métier. 3.5.6.4 . L'appelant n'a jamais contesté avoir souhaité envoyer la marchandise en Guinée, mais il soutient avoir agi par charité. En réalité, soit il y trouvait son compte en revendant celle-ci sur place, ce que suggère le fait qu'il achetait plusieurs articles d'un même modèle, soit il comptait la donner à des proches, comme il l'explique lui-même, ce qui lui aurait permis de les enrichir. 3.5.7. Au vu de ce qui précède, l'appelant s'est rendu coupable de d'escroquerie par métier au sens de l'art. 146 al. 2 CP. 3.6.1. Est puni d’une peine privative de liberté d’un an au plus ou d’une peine pécuniaire quiconque contrevient aux dispositions sur l’entrée en Suisse (let. a) ou séjourne illégalement en Suisse, notamment après l’expiration de la durée du séjour non soumis à autorisation ou du séjour autorisé (let. b) ou exerce une activité lucrative sans autorisation (let. c) (art. 115 al. 1 LEI). 3.6.2. L'appelant a pénétré sur le territoire helvétique dans le but de commettre des infractions contre le patrimoine, désormais établies, et sans bénéficier de moyens licites de subvenir à ses propres besoins. Il a demeuré sur le territoire à tout le moins durant la période où il a réalisé son infraction, soit durant plus de 90 jours consécutifs, ce qui ressort également de ses propres déclarations. 3.6.3. L'appelant a travaillé en Suisse comme décrit sous chiffre 1.3.1 de l'acte d'accusation. Il prétend avoir cru que l'affiliation auprès de BI_____ était suffisante, ce qui n'était évidemment pas le cas. Dans le doute, il lui appartenait de le vérifier. 3.6.4. En revanche, aucun élément ne permet d'établir qu'il a effectivement été employé par l'entreprise d'échafaudages en 2021, celle-ci ayant affirmé le contraire. Le contenu de la lettre de l'appelant doit être nuancé dans la mesure où il souhaitait demeurer dans la maison qu'il occupait et n'a jamais hésité à enjoliver la vérité. Les habits de travail et les contacts professionnels ne suffisent pas non plus à le relier à une activité, ceux-ci pouvant tout autant résulter de sa tendance à amasser des choses, alors que ceux-là se trouver dans l'appareil de tout un chacun sans lien avec la profession. 3.6.5. Les faits décrits sous chiffres 1.2. et 1.3.1. de l'acte d'accusation sont ainsi établis et constitutifs des infractions à l'art. 115 al. 1 let. a, b, et c LEI. En revanche, l'appelant devra être acquitté des faits visés sous chiffre 1.3.2., et l'appel admis sur ce point.</w:t>
      </w:r>
    </w:p>
    <w:p>
      <w:r>
        <w:rPr>
          <w:b/>
        </w:rPr>
        <w:t>E. 4</w:t>
      </w:r>
    </w:p>
    <w:p>
      <w:r>
        <w:t>4.1. Selon l'art. 47 CP, le juge fixe la peine d'après la culpabilité de l'auteur. Elle doit être évaluée en fonction de tous les éléments objectifs pertinents, qui ont trait à l'acte lui-même, à savoir notamment la gravité de la lésion, le caractère répréhensible de l'acte et son mode d'exécution.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 129 IV 6 consid. 6.1 ; arrêt du Tribunal fédéral 6B_660/2013 du 19 novembre 2013 consid. 2.2). 4.2.1. D'après l'art. 49 al. 1 CP, si, en raison d'un ou de plusieurs actes, l'auteur remplit les conditions de plusieurs peines de même genre, le juge le condamne à la peine de l'infraction la plus grave et l'augmente dans une juste proportion. 4.2.2. À teneur de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(ATF 142 IV 329 consid. 1.4.1 ; 142 IV 265 consid. 2.3.3 ; 141 IV 61 consid. 6.1.2 ; 138 IV 113 consid. 3.4.1). 4.2.3. Concrètement, le juge doit se demander comment il aurait fixé la peine en cas de concours simultané, puis déduire de cette peine d'ensemble hypothétique la peine de base, soit celle qui a déjà été prononcée (arrêt du Tribunal fédéral 6B_28/2008 du 10 avril 2008 consid. 3.3.1). 4.2.4. Le prononcé d'une peine complémentaire suppose que les conditions d'une peine d'ensemble au sens de l'art. 49 al. 1 CP sont réunies. Une peine additionnelle ne peut ainsi être infligée que lorsque la nouvelle peine et celle qui a déjà été prononcée sont du même genre. Des peines d'un genre différent doivent en revanche être infligées cumulativement car le principe d'absorption n'est alors pas applicable (ATF 142 IV 265 consid. 2.3.1 ; 137 IV 57 consid. 4.3.1). 4.3.1. La faute de l'appelant est non négligeable. Il a, durant plusieurs mois et cela des dizaines de fois, commandé des biens, auprès de différents commerces, alors qu'il n'a jamais eu l'intention de régler les factures y relatives. Il n'a pas hésité, alors qu'il avait déjà été condamné pour de tels faits à 12 reprises, à violer, à nouveau, plusieurs bases légales régissant le droit des étrangers pour y parvenir. Sa culpabilité doit toutefois être relativisée par le fait que les articles, pris individuellement, présentaient un prix d'achat peu élevé et que le total du dommage est bien inférieur à ce qu'a retenu l'instance précédente. Son mobile, soit l'appât du gain, est égoïste. Il a agi ainsi par convenance personnelle, de manière à privilégier ses propres intérêts pécuniaires, et cela au préjudice de la législation en vigueur et du patrimoine de tiers. La prise de conscience est inexistante, l'intéressé persistant à contester toutes les commandes quand bien même sa culpabilité ne fait aucun doute. La collaboration est très mauvaise, le prévenu s'étant contenté de nier tous les faits reprochés, quitte à apporter des explications fantaisistes. La situation personnelle n'explique pas ses gestes, ni ne les justifie, d'autant moins qu'il bénéficie d'un statut régulier en Italie ainsi que, selon ses dires, d'un emploi. Les antécédents sont nombreux, mauvais et spécifiques s'agissant des infractions contre le patrimoine et à la LEI. Vu le risque de récidive de l'appelant, l'absence totale de prise de conscience, il se justifie de prononcer une peine privative de liberté ferme pour chacune des infractions. Il y a plusieurs infractions passibles du même type de peine, d'où le bénéfice du principe d'aggravation. Les faits ont en partie été commis avant la condamnation par le TP du 25 novembre 2020, de sorte que la fixation d'une peine partiellement complémentaire s'impose. 4.3.2. Compte tenu de l'acquittement et de la réduction par moitié du dommage de l'infraction principale, une peine privative de liberté totale de neuf mois est adéquate, soit cinq mois pour l'infraction d'escroquerie par métier, infraction objectivement la plus grave, aggravés de deux mois pour l'entrée et le séjour illégaux (peine hypothétique : quatre mois), un mois et demi pour l'exercice d'une activité lucrative sans autorisation (peine hypothétique : trois mois) et 15 jours pour l'entrée illégale selon le jugement du TP du 25 novembre 2020 (peine hypothétique : 30 jours). Une peine complémentaire de huit mois doit donc être prononcée (neuf mois moins 30 jours). L'amende de CHF 500.-, dont la quotité est adéquate, sera confirmée.</w:t>
      </w:r>
    </w:p>
    <w:p>
      <w:r>
        <w:rPr>
          <w:b/>
        </w:rPr>
        <w:t>E. 5</w:t>
      </w:r>
    </w:p>
    <w:p>
      <w:r>
        <w:t>5.1. Conformément à l'art. 66a al. 1 let. c CP, applicable aux infractions commises à partir du 1 er octobre 2016, le juge expulse un étranger du territoire suisse pour une durée de cinq à 15 ans notamment s'il est reconnu coupable d'escroquerie par métier.</w:t>
      </w:r>
    </w:p>
    <w:p>
      <w:r>
        <w:rPr>
          <w:b/>
        </w:rPr>
        <w:t>E. 5.2</w:t>
      </w:r>
    </w:p>
    <w:p>
      <w:r>
        <w:t>L'art. 66a al. 2 CP prévoit que le juge peut exceptionnellement renoncer à une expulsion lorsque celle-ci mettrait l'étranger dans une situation personnelle grave (première condition) et que les intérêts publics à l'expulsion ne l'emportent pas sur l'intérêt privé de l'étranger à demeurer en Suisse (deuxième condition).</w:t>
      </w:r>
    </w:p>
    <w:p>
      <w:r>
        <w:rPr>
          <w:b/>
        </w:rPr>
        <w:t>E. 5.3</w:t>
      </w:r>
    </w:p>
    <w:p>
      <w:r>
        <w:t>L'appelant tombe sous le coup d'une expulsion obligatoire et ne saurait se prévaloir de la clause de rigueur. Il n'avait pas d'intérêt à demeurer en Suisse, pays où il a pénétré et est demeuré illicitement dans l'intention d'y commettre des infractions, et avec lequel il n'a aucune attache. La présence en Valais de l'épouse et des enfants de son cousin, de même que quelques liens amicaux à Genève, au demeurant non établis, ne sauraient infirmer ce qui précède. Vu les antécédents de l'intéressé, en partie spécifiques, le risque de récidive et son absence de prise de conscience, la durée d'expulsion de cinq ans est adéquate. La renonciation au signalement se justifie toutefois vu les liens supposés de l'appelant avec l'Italie, étant rappelé qu'il y bénéficie d'un titre de séjour.</w:t>
      </w:r>
    </w:p>
    <w:p>
      <w:r>
        <w:rPr>
          <w:b/>
        </w:rPr>
        <w:t>E. 6</w:t>
      </w:r>
    </w:p>
    <w:p>
      <w:r>
        <w:t>Vu l'issue de la procédure d'appel, il n'y a pas lieu de revenir sur les mesures de confiscation ordonnées par la première juge (art. 69 CP).</w:t>
      </w:r>
    </w:p>
    <w:p>
      <w:r>
        <w:rPr>
          <w:b/>
        </w:rPr>
        <w:t>E. 7</w:t>
      </w:r>
    </w:p>
    <w:p>
      <w:r>
        <w:t>L'appelant, qui succombe dans une large mesure, supportera trois quarts des frais de la procédure d'appel (art. 428 CPP), y compris un émolument de jugement de CHF 1'800.-. Il en ira de même des frais de première instance, y compris l'émolument complémentaire de CHF 500.-, compte tenu de l'acquittement prononcé.</w:t>
      </w:r>
    </w:p>
    <w:p>
      <w:r>
        <w:rPr>
          <w:b/>
        </w:rPr>
        <w:t>E. 8.1</w:t>
      </w:r>
    </w:p>
    <w:p>
      <w:r>
        <w:t>À teneur de l'art. 429 al. 1 CPP, si le prévenu est acquitté totalement ou en partie ou s'il bénéficie d'une ordonnance de classement, il a droit à une réparation du tort moral subi en raison d'une atteinte particulièrement grave à sa personnalité, notamment en cas de privation de liberté (let. c). L'art. 431 al. 2 CPP vise spécifiquement l'indemnisation de la détention excessive dans la mesure où elle dépasse la sanction ou la peine privative de liberté prononcée par la suite. Une indemnisation est notamment possible si le nombre des jours de détention avant jugement dépasse celui de la peine prononcée (arrêt du Tribunal fédéral 6B_558/2013 du 13 décembre 2013 consid. 1.6). La détention excessive au sens de l'article précité, conformément à l'art. 51 CP, est d'abord imputée sur une autre sanction et ne peut donner lieu à une indemnisation que si l'imputation est impossible. Dite imputation a lieu, en priorité, sur les peines privatives de liberté, puis sur les autres peines, comme la peine pécuniaire, le travail d'intérêt général et l'amende. La compensation sous la forme de l'indemnisation est subsidiaire. L'intéressé ne peut choisir entre l'indemnisation ou l'imputation (ATF 141 IV 236 consid. 3.3). Le taux de conversion de la détention préventive sur l'amende correspond à celui selon lequel le juge détermine la peine privative de liberté de substitution (art. 106 al. 3 CP) (ATF 135 IV 126 consid. 1.3.9). Le juge doit imputer la durée de la détention avant jugement sur les sanctions prononcées en rapport avec d'autres infractions, que ce soit dans la même procédure ou dans un autre. (M. DUPUIS / L. MOREILLON / C. PIGUET / S. BERGER / M. MAZOU / V. RODIGARI [éds], Code pénal - Petit commentaire, 2e éd., Bâle 2017, n. 15 ad art. 431 ; Message du Conseil fédéral relatif à l'unification du droit de la procédure pénale du 21 décembre 2005, FF 2006 1314).</w:t>
      </w:r>
    </w:p>
    <w:p>
      <w:r>
        <w:rPr>
          <w:b/>
        </w:rPr>
        <w:t>E. 8.2</w:t>
      </w:r>
    </w:p>
    <w:p>
      <w:r>
        <w:t>Un montant de CHF 200.- par jour en cas de détention injustifiée de courte durée constitue une indemnité appropriée, dans la mesure où il n'existe pas de circonstances particulières qui pourraient fonder le versement d'un montant inférieur ou supérieur. Lorsque la durée de détention est de plusieurs mois, il convient en règle générale de réduire le montant journalier de l'indemnité (arrêt du Tribunal fédéral 6B_1160/2022 du 1 er mai 2023 destiné à publication consid. 2.1.2). Pour déterminer l'ampleur de la réparation du tort moral, le juge peut notamment prendre en considération les répercussions de la détention sur la vie privée, sociale et professionnelle de l'intéressé, de même que son passé carcéral (arrêt du Tribunal fédéral 6B_1160/2022 du 1 er mai 2023 destiné à publication consid. 2.1.4).</w:t>
      </w:r>
    </w:p>
    <w:p>
      <w:r>
        <w:rPr>
          <w:b/>
        </w:rPr>
        <w:t>E. 8.3</w:t>
      </w:r>
    </w:p>
    <w:p>
      <w:r>
        <w:t>La détention subie en lien avec la présente cause (275 jours) dépasse de 32 jours la peine prononcée en appel (huit mois ou 243 jours) de sorte que se pose la question de l'indemnisation pour la détention injustifiée. Cela étant, dans la mesure où l'imputation doit prévaloir sur toute compensation financière, et cela quel que soit le genre de peine, cinq jours de détention seront déduits pour tenir compte de l'amende de CHF 500.-, soit cinq fois CHF 100.-. Dans le cas d'espèce, une indemnité journalière de CHF 150.- apparaît adéquate puisque l'appelant a été interpellé et arrêté à bon droit, puis a purgé une peine totale de plusieurs mois, et n'allègue pas que la détention aurait particulièrement impacté sa vie personnelle ou professionnelle, d'autant qu'il est célibataire, sans enfant, et était sans activité à l'époque. Une indemnité de CHF 4'050.-, soit CHF 150.- fois 27, lui sera octroyée. Ce montant portera intérêt à 5% dès le 14 novembre 2022 (date à laquelle il aurait dû être libéré).</w:t>
      </w:r>
    </w:p>
    <w:p>
      <w:r>
        <w:rPr>
          <w:b/>
        </w:rPr>
        <w:t>E. 9.1</w:t>
      </w:r>
    </w:p>
    <w:p>
      <w:r>
        <w:t>Considéré globalement, l'état de frais produit par la défenseure d'office de A______, satisfait les exigences légales et jurisprudentielles régissant l'assistance judiciaire gratuite en matière pénale. Il convient cependant de le compléter de la durée de l'audience d'appel et du déplacement de la cheffe d'études aux débats.</w:t>
      </w:r>
    </w:p>
    <w:p>
      <w:r>
        <w:rPr>
          <w:b/>
        </w:rPr>
        <w:t>E. 9.2</w:t>
      </w:r>
    </w:p>
    <w:p>
      <w:r>
        <w:t>La rémunération de celle-ci sera partant arrêtée à CHF 2'188.80 correspondant à 8.80 heures d'activité au tarif de CHF 200.-/heure (CHF 1'756.60) plus la majoration forfaitaire de 10%, vu l'activité déjà indemnisée (CHF 175.70), le déplacement (CHF 100.-) et l'équivalent de la TVA au taux de 7.7% (CHF 156.50).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