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P/22215/2020 vom 13. April 2021</w:t>
      </w:r>
    </w:p>
    <w:p>
      <w:r>
        <w:t>GE Cour de justice, 2021-04-13, FR</w:t>
      </w:r>
    </w:p>
    <w:p>
      <w:r>
        <w:rPr>
          <w:b/>
        </w:rPr>
        <w:t xml:space="preserve">Quelle: </w:t>
      </w:r>
      <w:r>
        <w:t>https://mcp.opencaselaw.ch/entscheid/ge_gerichte_P_22215_2020</w:t>
      </w:r>
    </w:p>
    <w:p>
      <w:r>
        <w:t>FR: GE_GERICHTE P/22215/2020 du 13 avril 2021</w:t>
      </w:r>
    </w:p>
    <w:p>
      <w:r>
        <w:t>IT: GE_GERICHTE P/22215/2020 del 13 aprile 2021</w:t>
      </w:r>
    </w:p>
    <w:p>
      <w:pPr>
        <w:pStyle w:val="Heading2"/>
      </w:pPr>
      <w:r>
        <w:t>Regeste</w:t>
      </w:r>
    </w:p>
    <w:p>
      <w:r>
        <w:t>OPPOSITION TARDIVE | CPP.356; CPP.85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au Tribunal de police d'avoir jugé irrecevable, car tardive, son opposition à l'ordonnance pénale du 10 août 2020.</w:t>
      </w:r>
    </w:p>
    <w:p>
      <w:r>
        <w:rPr>
          <w:b/>
        </w:rPr>
        <w:t>E. 2.1</w:t>
      </w:r>
    </w:p>
    <w:p>
      <w:r>
        <w:t>À teneur des art. 354 et 357 CPP, le prévenu peut former opposition contre l'ordonnance pénale devant le Ministère public, respectivement le SdC, par écrit et dans les 10 jours (al. 1 let. a). Si aucune opposition n'est valablement formée, l'ordonnance pénale est assimilée à un jugement entré en force (al. 3).</w:t>
      </w:r>
    </w:p>
    <w:p>
      <w:r>
        <w:rPr>
          <w:b/>
        </w:rPr>
        <w:t>E. 2.2</w:t>
      </w:r>
    </w:p>
    <w:p>
      <w:r>
        <w:t>Le Tribunal de police statue d'office sur la validité de l'opposition formée à une ordonnance pénale (art. 356 al. 2 CPP; arrêts du Tribunal fédéral 6B_910/2017 du 29 décembre 2017 consid. 2.4; 6B_848/2013 du 3 avril 2014 consid. 1.3.2). Lorsque l'opposition n'est pas valable, notamment car elle est tardive (cf. ATF 142 IV 201 consid. 2.2 p. 204), le tribunal de première instance n'entre pas en matière (cf. Message du 21 décembre 2005 relatif à l'unification de la procédure pénale, FF 2006 1275 ad art. 360).</w:t>
      </w:r>
    </w:p>
    <w:p>
      <w:r>
        <w:rPr>
          <w:b/>
        </w:rPr>
        <w:t>E. 2.3</w:t>
      </w:r>
    </w:p>
    <w:p>
      <w:r>
        <w:t>Selon les art. 85 al. 2 et 87 CPP, les autorités pénales notifient leurs prononcés écrits, au domicile du destinataire, par lettre signature ou par tout autre mode de communication impliquant un accusé de réception. Le prononcé est réputé notifié lorsqu'il a été remis au destinataire (art. 85 al. 3 CPP). En cas d'échec de distribution d'une lettre signature, cette dernière doit être retirée dans un office de poste, le destinataire étant invité, par le dépôt d'un avis, à venir chercher l'envoi (Y. JEANNERET / A. KUHN / C. PERRIER DEPEURSINGE (éds), Commentaire romand : Code de procédure pénale suisse , 2 ème éd., Bâle 2019, n. 29 ad art. 85). L'intéressé dispose, pour effectuer ce retrait, d'un délai de sept jours. Si le pli n'est pas retiré dans ce laps de temps et si le destinataire devait s'attendre à une telle remise, le prononcé est réputé notifié (art. 85 al. 4 let. a CPP).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de la procédure et vaut pendant toute sa durée. Il est admis que la personne concernée doit s'attendre à la remise d'un prononcé lorsqu'elle est au courant qu'elle fait l'objet d'une instruction pénale au sens de l'art. 309 CPP.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(arrêt du Tribunal fédéral 6B_934/2018 du 9 novembre 2018 consid. 2.1 et les références citées).</w:t>
      </w:r>
    </w:p>
    <w:p>
      <w:r>
        <w:rPr>
          <w:b/>
        </w:rPr>
        <w:t>E. 2.4</w:t>
      </w:r>
    </w:p>
    <w:p>
      <w:r>
        <w:t>En l'espèce, la question qui se pose est celle de savoir si le recourant pouvait considérer, à réception de l'ordonnance pénale n° 3______ du 22 juillet 2020, que la procédure ayant pour objet les faits du 27 juin 2020 n'était pas close. À réception de la première ordonnance pénale, le recourant a pu constater que les infractions qui lui étaient reprochées étaient celles "d'a voir, le samedi 27 juin 2020, à14h25, au niveau du 56, quai Gustave-Ador, roulé sur le trottoir malgré l'interdiction, ne pas avoir utilisé la piste cyclable et avoir refusé d'obtempérer à une injonction d'un membre de la police ou d'un agent de la police municipale " et non les infractions subséquentes qui visaient notamment le fait d'avoir causé un accident en percutant la moto du policier et d'avoir refusé, en prenant la fuite, de remplir ses devoirs en cas d'accident, malgré l'injonction de l'agent de s'arrêter et de procéder au constat. Il savait que son identité était connue de la police à la suite de son interpellation et devait ainsi s'attendre à recevoir une décision concernant les infractions commises ensuite. Il importe peu qu'il y ait eu une erreur de date sur la seconde ordonnance (dimanche 7 juin 2020 au lieu de samedi 27 juin 2020) puisque le recourant n'est pas allé la retirer à la poste et n'a pas pu conditionner le non-retrait à ladite erreur, laquelle aurait pu être invoquée si le Tribunal de police avait dû statuer sur le fond. Dans ces circonstances, le recourant devait prendre les mesures particulières, s'il était en vacances – ce qui n'est pas établi – pour réceptionner son courrier, et en particulier cette décision. L'ordonnance pénale litigieuse ayant été notifiée fictivement le 18 août 2020, l'opposition formée le 6 novembre suivant est tardive. Justifiée, l'ordonnance querellée sera donc confirmée.</w:t>
      </w:r>
    </w:p>
    <w:p>
      <w:r>
        <w:rPr>
          <w:b/>
        </w:rPr>
        <w:t>E. 3</w:t>
      </w:r>
    </w:p>
    <w:p>
      <w:r>
        <w:t>Le recourant, qui succombe, supportera les frais envers l'État, qui seront fixés en totalité à CHF 900.- (art. 428 al. 1 CPP), y compris l'émolument (art.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