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P/22190/2019 vom 24. April 2020</w:t>
      </w:r>
    </w:p>
    <w:p>
      <w:r>
        <w:t>GE Cour de justice, 2020-04-24, FR</w:t>
      </w:r>
    </w:p>
    <w:p>
      <w:r>
        <w:rPr>
          <w:b/>
        </w:rPr>
        <w:t xml:space="preserve">Quelle: </w:t>
      </w:r>
      <w:r>
        <w:t>https://mcp.opencaselaw.ch/entscheid/ge_gerichte_P_22190_2019</w:t>
      </w:r>
    </w:p>
    <w:p>
      <w:r>
        <w:t>FR: GE_GERICHTE P/22190/2019 du 24 avril 2020</w:t>
      </w:r>
    </w:p>
    <w:p>
      <w:r>
        <w:t>IT: GE_GERICHTE P/22190/2019 del 24 aprile 2020</w:t>
      </w:r>
    </w:p>
    <w:p>
      <w:pPr>
        <w:pStyle w:val="Heading2"/>
      </w:pPr>
      <w:r>
        <w:t>Regeste</w:t>
      </w:r>
    </w:p>
    <w:p>
      <w:r>
        <w:t>DÉCISION D'IRRECEVABILITÉ;ENQUÊTE PÉNALE | CPP.310; CP.179quater</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Il n'y a pas lieu de donner suite à la conclusion de la recourante relative à la consultation du dossier et à l'octroi d'un délai supplémentaire, étant précisé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 1B_183/2019 du 20 novembre 2012 consid 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que, des actes d'enquête ayant été menés dans le cadre de ce dossier, il n'était plus possible de rendre une ordonnance de non-entrée en matière et qu'en l'absence de l'ouverture d'une instruction son droit d'être entendue avait été violé.</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 Bâle 2016, n. 4 ad art. 310 ; arrêt du Tribunal fédéral 1B_368/2012 du 13 mai 2013 consid. 3.2.). Ainsi, avant de rendre une telle ordonnance,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 Y. JEANNERET / A. KUHN / C. PERRIER DEPEURSINGE (éds), Commentaire romand : Code de procédure pénale suisse, 2 ème éd., Bâle 2019, n. 22 ad art. 309). Diverses mesures d'investigation peuvent être mises en oeuvre avant l'ouverture d'une instruction, telle que l'audition des lésés et suspects par la police sur délégation du ministère public (art. 206 al. 1 et 306 al. 2 let. b cum art. 309 al. 2 CPP ; arrêt du Tribunal fédéral 6B_875/2018 du 15 novembre 2018 consid. 2.2.1).</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M. NIGGLI / M. HEER / H. WIPRÄCHTIGER (éds), Strafprozessordnung / Jugendstrafprozessordnung, Basler Kommentar StPO/JStPO , 2 e éd., Bâle 2014, n. 19-21 ad art. 310).</w:t>
      </w:r>
    </w:p>
    <w:p>
      <w:r>
        <w:rPr>
          <w:b/>
        </w:rPr>
        <w:t>E. 3.3</w:t>
      </w:r>
    </w:p>
    <w:p>
      <w:r>
        <w:t>En l'occurrence, les actes d'enquête ont été menés à l'initiative de la police, dans le cadre de son pouvoir d'investigation. Elle s'est limitée à entendre la recourante lors de son dépôt de plainte, à l'audition de la partie mise en cause et à des vérifications auprès [du réseau social] D______. Conformément à la jurisprudence précitée, le Ministère public n'était dès lors pas tenu d'ouvrir une instruction et était par la suite en droit de rendre une ordonnance de non-entrée en matière. Par ailleurs, le Ministère public étant en mesure de rendre une ordonnance de non-entrée en matière, il n'était pas tenu de donner la possibilité à la recourante d'exercer son droit d'être entendue, lequel l'a été dans le cadre de la procédure de recours, en particulier par le biais de son écriture de recours, dans lequel la recourante a eu l'occasion de prendre position sur les faits retenus dans l'ordonnance querellée et suggérer des actes d'enquête. Partant, ce grief sera rejeté.</w:t>
      </w:r>
    </w:p>
    <w:p>
      <w:r>
        <w:rPr>
          <w:b/>
        </w:rPr>
        <w:t>E. 4</w:t>
      </w:r>
    </w:p>
    <w:p>
      <w:r>
        <w:t>La recourante reproche au Ministère public de ne pas être entré en matière sur sa plainte.</w:t>
      </w:r>
    </w:p>
    <w:p>
      <w:r>
        <w:rPr>
          <w:b/>
        </w:rPr>
        <w:t>E. 4.1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op. cit.,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4.2</w:t>
      </w:r>
    </w:p>
    <w:p>
      <w:r>
        <w:t>À teneur de l'art. 139 al. 2 CPP, il n'y a pas lieu d'administrer des preuves sur des faits non pertinents, notoires, connus de l'autorité pénale ou déjà suffisamment prouvés. Le Tribunal fédéral a en outre considéré que le Ministère public pouvait renoncer à des actes d'instruction jugés disproportionnés en rapport avec les intérêts en jeu (arrêt 1B_67/2012 du 29 mai 2012 consid. 3.2 ; ACPR/540/2012 du 28 novembre 2012).</w:t>
      </w:r>
    </w:p>
    <w:p>
      <w:r>
        <w:rPr>
          <w:b/>
        </w:rPr>
        <w:t>E. 4.3</w:t>
      </w:r>
    </w:p>
    <w:p>
      <w:r>
        <w:t>Selon l'art. 179 quater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 celui qui aura conservé une prise de vues ou l'aura rendue accessible à un tiers, alors qu'il savait ou devait présumer qu'elle l'avait obtenue au moyen d'une infraction visée à l'al.1.</w:t>
      </w:r>
    </w:p>
    <w:p>
      <w:r>
        <w:rPr>
          <w:b/>
        </w:rPr>
        <w:t>E. 4.4</w:t>
      </w:r>
    </w:p>
    <w:p>
      <w:r>
        <w:t>En l'espèce, la recourante conteste avoir donné son consentement à la prise de la photographie litigieuse ainsi qu'à son partage avec des tiers. Les déclarations des parties sont contradictoires sur ce point et l'on ne voit pas quel acte d'instruction complémentaire serait de nature à apporter un quelconque élément probant à cet égard. Les actes d'enquête sollicités par la recourante apparaissent disproportionnés et non pertinents pour établir l'existence d'un accord ou non de sa part au moment des faits. Elle mentionne certes la présence d'un témoin à la discussion du 15 septembre 2019 au cours de laquelle le mis en cause aurait admis son absence de consentement. Elle s'est toutefois contentée de mentionner l'existence de ce témoin, sans plus de précision, de sorte qu'il n'est pas possible d'apprécier sa fiabilité ni a fortiori de procéder à son audition. Par ailleurs, pour ce qui est d'une éventuelle pratique du couple consistant à se prendre mutuellement en photographie, dénudés, et à transmettre ces clichés à leurs amis respectifs, les actes d'instruction sollicités ne sont pas probants. L'existence ou non d'une telle habitude ne renseignerait pas sur la question de savoir si la recourante avait donné son accord à la prise de la photographie litigieuse ni sur le partage de celle-ci avec des tiers, seuls pertinents dans le cas présent. S'agissant de la publication du cliché litigieux sur [le réseau social] D______, le 15 septembre 2019, son auteur n'a pu être identifié, malgré les investigations effectuées par la police. Au surplus, il est établi qu'à cette date le mis en cause n'était plus en possession de son téléphone portable, puisqu'il se l'était fait dérober quelques jours auparavant. En outre, quand bien même il aurait été en possession d'une copie numérique de la photographie via un autre support, les actes d'instruction requis ne seraient pas de nature à démontrer qu'il serait l'auteur de la publication. Une prévention pénale suffisante à l'égard du mis en cause ne peut ainsi être établie. Enfin, le fait que le nom de la recourante apparaisse sur la publication ne suffit pas à prouver que l'auteur serait le mis en cause, cette information pouvant provenir d'un fichier image enregistré sous ce nom. Au regard de ce qui précède, force est de constater qu'aucun des actes d'instruction proposés n'est en mesure d'apporter d'élément supplémentaire probant sur la présente cause. C'est ainsi à juste titre que le Ministère public n'est pas entré en matière sur les faits dénoncés. En conséquence, ce grief sera également rejeté.</w:t>
      </w:r>
    </w:p>
    <w:p>
      <w:r>
        <w:rPr>
          <w:b/>
        </w:rPr>
        <w:t>E. 5</w:t>
      </w:r>
    </w:p>
    <w:p>
      <w:r>
        <w:t>Justifiée, l'ordonnance querellée sera donc confirmée.</w:t>
      </w:r>
    </w:p>
    <w:p>
      <w:r>
        <w:rPr>
          <w:b/>
        </w:rPr>
        <w:t>E. 6</w:t>
      </w:r>
    </w:p>
    <w:p>
      <w:r>
        <w:t>La recourante sollicite d'être mise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notamment lorsqu'une ordonnance de non-entrée en matière ou de classement doit être rendue (arrêts du Tribunal fédéral 1B_173/2014 du 17 juillet 2014 consid. 3.1.1 et 1B_254/2013 du 27 septembre 2013 consid. 2.1.1 et les références citées).</w:t>
      </w:r>
    </w:p>
    <w:p>
      <w:r>
        <w:rPr>
          <w:b/>
        </w:rPr>
        <w:t>E. 6.2</w:t>
      </w:r>
    </w:p>
    <w:p>
      <w:r>
        <w:t>In casu, quand bien même la recourante serait indigente, le recours était manifestement voué à l'échec. D'ailleurs, celle-ci n'explique nullement dans quelle mesure elle pourrait faire valoir d'éventuelles prétentions civiles à l'encontre du mis en cause. La requête ne peut dès lors qu'être rejetée.</w:t>
      </w:r>
    </w:p>
    <w:p>
      <w:r>
        <w:rPr>
          <w:b/>
        </w:rPr>
        <w:t>E. 7</w:t>
      </w:r>
    </w:p>
    <w:p>
      <w:r>
        <w:t>La recourante, qui succombe, supportera les frais envers l'État, qui seront fixés en totalité à CHF 900.- (art. 428 al. 1 CPP et 13 al. 1 du Règlement fixant le tarif des frais en matière pénale, RTFMP ; E 4 10.03).</w:t>
      </w:r>
    </w:p>
    <w:p>
      <w:r>
        <w:rPr>
          <w:b/>
        </w:rPr>
        <w:t>E. 8</w:t>
      </w:r>
    </w:p>
    <w:p>
      <w:r>
        <w:t>Le refus de l'assistance judiciaire sera, quant à lui, rendu sans frais (art. 20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