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P/2215/2021 vom 13. Mai 2024</w:t>
      </w:r>
    </w:p>
    <w:p>
      <w:r>
        <w:t>GE Cour de justice, 2024-05-13, FR</w:t>
      </w:r>
    </w:p>
    <w:p>
      <w:r>
        <w:rPr>
          <w:b/>
        </w:rPr>
        <w:t xml:space="preserve">Quelle: </w:t>
      </w:r>
      <w:r>
        <w:t>https://mcp.opencaselaw.ch/entscheid/ge_gerichte_P_2215_2021</w:t>
      </w:r>
    </w:p>
    <w:p>
      <w:r>
        <w:t>FR: GE_GERICHTE P/2215/2021 du 13 mai 2024</w:t>
      </w:r>
    </w:p>
    <w:p>
      <w:r>
        <w:t>IT: GE_GERICHTE P/2215/2021 del 13 maggio 2024</w:t>
      </w:r>
    </w:p>
    <w:p>
      <w:pPr>
        <w:pStyle w:val="Heading2"/>
      </w:pPr>
      <w:r>
        <w:t>Regeste</w:t>
      </w:r>
    </w:p>
    <w:p>
      <w:r>
        <w:t>ACTE D'ORDRE SEXUEL AVEC UN ENFANT;CONTRAINTE SEXUELLE | CP.187; CP.189</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Le principe in dubio pro reo, qui découle de la présomption d'innocence, garantie par l'art. 6 ch. 2 CEDH et, sur le plan interne, par les art. 32 al. 1 de la Constitution fédérale de la Confédération suisse (Cst.) et 10 al. 3 CPP, concerne tant le fardeau de la preuve que l'appréciation des preuves au sens large (ATF 144 IV 345 consid. 2.2.3.1).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2.1.2.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 du Tribunal fédéral 6B_324/2017 du 8 mars 2018 consid. 1.1).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(arrêts du Tribunal fédéral 6B_1169/2017 du 15 juin 2018 consid. 1.1 ; 6B_608/2017 du 12 avril 2018 consid. 3.1 et les références). 2.1.3. Les cas de "paroles contre paroles", dans lesquels les déclarations de la victime en tant que principal élément à charge et celles contradictoires de la personne accusée s'opposent, ne doivent pas nécessairement, sur la base du principe in dubio pro reo, conduire à un acquittement. Leur appréciation définitive incombe au tribunal du fond (ATF 137 IV 122 consid. 3.3). Les déclarations de la victime constituent un élément de preuve. Le juge doit, dans l'évaluation globale de l'ensemble des éléments probatoires rassemblés au dossier, les apprécier librement (arrêt du Tribunal fédéral 6B_366/2021 du 26 janvier 2022 consid. 2.1.2). Les déclarations des enfants peuvent être retenues par le juge en application du principe de la libre appréciation des preuves, sans expertise de crédibilité, même si elles contiennent quelques imprécisions ou des contradictions mineures ou encore manquent de clarté sur des points secondaires (arrêts du Tribunal fédéral 6B_936/2010 du 28 juin 2011 consid. 4.3.2 et 6B_285/2011 du 14 décembre 2011 consid. 2.3.1). 2.3.1. Selon l'art. 187 ch. 1 CP, est punissable celui qui aura commis un acte d'ordre sexuel sur un enfant de moins de 16 ans, celui qui aura entraîné un enfant de cet âge à commettre un acte d'ordre sexuel ou celui qui aura mêlé un enfant de cet âge à un acte d'ordre sexuel. 2.3.2. L'art. 189 CP punit celui qui, notamment en usant de menace ou de violence envers une personne, en exerçant sur elle des pressions d'ordre psychique ou en la mettant hors d'état de résister l'aura contrainte à subir un acte analogue à l'acte sexuel ou un autre acte d'ordre sexuel. 2.4.1. En l'espèce, il est établi qu'entre le mois de septembre 2019 et le mois de mars 2020, la plaignante a suivi les cours de tennis dispensés par l'intimé dans une salle de gymnastique située sur le site de F______ (sis à R______ [GE] et non à E______ comme retenu à tort dans l'acte d'accusation). La jeune fille a allégué avoir subi des attouchements de la part de son professeur de tennis, ce que celui-ci a toujours contesté au cours de la procédure. En présence de deux versions contradictoires et en l'absence d'éléments de preuve objectifs, il convient d'analyser la crédibilité des déclarations des parties. 2.4.2. C______ a donné des explications constantes, précises et circonstanciées tout au long de la procédure. Il a notamment décrit avec force détails la manière dont ses leçons de tennis se déroulaient et le contexte dans lequel il était amené à s'approcher physiquement de ses élèves. Il a décrit de manière précise les gestes qu'il effectuait et les contacts physiques qu'il entretenait avec les enfants au moment de leur montrer un mouvement (notamment le bras en écharpe lors des coups droit), contacts qui paraissent au demeurant cohérents avec l'apprentissage et la pratique de ce sport. Les quelques rares contradictions dont son discours a souffert ne sont pas déterminantes pour juger de sa crédibilité générale. Ainsi, le fait que l'intimé ait d'abord indiqué qu'il ne se souvenait pas s'il avait montré un mouvement précis sur A______ (avant de déclarer que tel avait bien été le cas devant le MP) ou que cette enfant était moins douée (alors qu'une camarade a dit le contraire à la police) ne suffit pas à entacher sa crédibilité. En effet, ces quelques différences peuvent s'expliquer par l'écoulement du temps entre les leçons prodiguées et ses auditions, ou par le fait que l'intimé a eu le temps de réfléchir aux événements entre deux auditions, notamment s'agissant des mouvements effectués. Il convient par ailleurs de tenir compte du fait que celui-ci enseignait chaque semaine à environ 60 élèves et peut, dès lors, ne pas avoir retenu quel était le niveau de tennis de chaque enfant, ou avec lesquels il avait entretenu ou non un contact physique au moment de montrer un mouvement. Les dénégations de C______, exprimées avec véhémence tout au long de la procédure, paraissent au demeurant sincères. L'intimé s'est montré choqué par les faits dont il était accusé, a indiqué tomber des nues et a à de nombreuses reprises exprimé son incompréhension face aux déclarations de l'enfant, de même que sa colère face à cette situation. Il sera encore précisé que le fait que l'intimé ait parfois recours à des services de prostitution n'a aucun lien avec les faits qui lui sont reprochés et n'est ainsi pas de nature à démontrer quoique ce soit. En définitive, il sera retenu que les déclarations de C______ sont, dans l'ensemble, cohérentes et crédibles. 2.4.3. L'analyse des déclarations de la plaignante est plus délicate. La CPAR observe en préambule que les déclarations de la jeune fille sont peu circonstanciées et peu détaillées. L'enfant a exposé avoir été très régulièrement soumise aux agissements de son professeur mais est toujours restée vague quant aux gestes exacts prodigués par celui-ci. Ainsi, elle a évoqué des claques ou des caresses sur les fesses ou encore la partie de " devant " ou d'" en haut ", indiquant parfois qu'il " touchait là où il ne devait pas toucher ", sans plus de précision. Elle n'a pas été en mesure de se souvenir d'épisodes précis (hormis celui de la craie sur lequel il sera revenu infra), ou à tout le moins de fournir des détails périphériques sur le contexte dans lequel les attouchements précités se produisaient, indiquant simplement que son professeur profitait de la toucher lorsqu'il s'approchait d'elle pour lui montrer un mouvement ou lorsqu'elle ramassait des balles. Le récit de l'épisode de la craie, s'il est plus détaillé et contextualisé, ne permet pas non plus de se faire une idée précise des gestes que la jeune fille aurait subis. La plaignante n'a jamais indiqué clairement que l'intimé lui aurait prodigué des attouchements à caractère sexuel à ce moment, celle-ci se contentant d'évoquer " une petite claque " ou une " tape ", sans autre précision, notamment s'agissant de l'endroit de son corps qui aurait été atteint. Or, s'il est vrai que l'intimé a reconnu que la jeune fille avait à une reprise jeté une craie, rien – et même pas les déclarations de l’enfant – ne permet de retenir qu'il aurait eu, à cette occasion, un geste déplacé à son égard. Le récit de la plaignante a également été émaillé de quelques contradictions. Elle a par exemple évoqué des caresses et des claques lors de sa première audition EVIG, avant de parler de " frôlements " ou " frôler et toucher " lors de la seconde. Elle a indiqué que les fait s'étaient produits avant le confinement mais a ensuite déclaré qu'elle souhaitait se tenir loin de son professeur en raison de la pandémie. Elle a enfin indiqué qu'elle en avait parlé à sa meilleure amie, puis à tout son groupe d'amies, avant d'expliquer, lors de sa seconde audition, qu'elle ne s'était jamais confiée de la sorte car elle ne l'avait pas osé. Les quelques éléments susmentionnés ne suffisent cependant pas à retenir que les déclarations de la plaignante ne sont, dans l'ensemble, pas crédibles. En effet, le récit d'une enfant de 12 ans (ou 14 ans pour la seconde audition EVIG), relatif à des éléments vécus alors qu'elle était encore plus jeune, ne saurait être analysé de la même manière que les déclarations d'un adulte. Il n'est ainsi pas surprenant que le vocabulaire de la jeune fille ait évolué entre deux auditions (" caresses " ou " frôlements "), ou encore que celle-ci ait été amenée à décrire les faits d'une manière légèrement différente, compte tenu de l'écoulement du temps entre les deux auditions (deux ans), période durant laquelle l'enfant a au demeurant grandi et évolué, ce qui peut avoir un impact sur son appréciation de la situation. Dans ce contexte, il n'est pas, en soi, non plus particulièrement choquant qu'une enfant de cet âge n'ait pas toujours été en mesure d'apporter des éléments contextuels à l'appui des événements qu'elle a décrits. Quelques éléments périphériques tendent au surplus à démontrer que la jeune fille a réellement ressenti une gêne vis-à-vis de son professeur lors de ses leçons de tennis. Il en va ainsi par exemple du processus de dévoilement des faits, qui s'est effectué petit à petit, la plaignante ayant d'abord parlé de ce malaise à un animateur du parascolaire dans un contexte bien précis, soit au moment où il lui était demandé d'enlever un vêtement. On peut également citer l'état émotionnel de la jeune fille avant et après sa confidence, ses parents, de même que plusieurs témoins (notamment L______ et M______) ayant constaté un changement dans son comportement et un certain soulagement après la révélation. Enfin, le témoin O______ a relevé que sa patiente se posait beaucoup de questions sur son habillement (ne souhaitant pas susciter quoique ce soit) ce qui était anormal pour une jeune fille de son âge. Le fait que la plaignante ait pris contact avec sa camarade de tennis, afin de lui demander si elle-même avait subi des attouchements identiques à ceux qu'elle décrivait crédibilise encore ses déclarations. On imagine en effet mal qu'une enfant de cet âge ait demandé de son propre chef des renseignements de ce type à une camarade si elle n'avait pas effectivement ressenti une gêne lors de ses leçons de tennis. Il convient enfin de tenir compte du caractère de la jeune fille, que les témoins, à l'unanimité, ont décrit comme une enfant sage, ne cherchant pas à attirer l'attention. Ces différents éléments, et en particulier les échanges avec sa camarade, mettent à mal l'hypothèse selon laquelle l’enfant aurait pu inventer les faits dans le but d'attirer l'attention de ses parents, en raison de son mal-être (quand bien même il semble avéré selon plusieurs témoins) lié à leur séparation. En définitive, il sera dès lors retenu que les déclarations de la plaignante sont, dans l'ensemble, plutôt crédibles. 2.4.4. Dans ces circonstances, en présence de deux versions contradictoires également (ou pratiquement) crédibles, le principe in dubio pro reo imposerait dans tous les cas de confirmer l'acquittement de l'intimé. Reste que le contexte des cours de tennis, donnés collectivement, régulièrement sous les yeux de parents d'élèves (à tout le moins derrière la baie vitrée) emporte la conviction de la CPAR en faveur de l'intimé. Il paraît en effet extrêmement peu probable que celui-ci ait souhaité – et réussi – à prodiguer des attouchements à une jeune fille dans ces circonstances, aux yeux de tous et sans que personne (ni élèves, ni parents) ne remarque rien, étant relevé que l'appelante n'a jamais évoqué de moments où ils auraient été seuls. On précisera encore qu'aucun des élèves interrogés n'a été en mesure de confirmer les dires de la jeune fille, aucun n'ayant remarqué quoi que ce soit de particulier pendant les cours (attouchements, compliments ou même le fait qu'elle soit favorisée pendant les leçons). De même, le comportement du prévenu n'a jamais fait l'objet d'aucune doléance de la part des parents d'élèves et ce, pour aucun des cours qu'il prodiguait. C'est le lieu de relever qu'il n'est pas forcément exclu que l'appelante, qui traversait une période compliquée et pouvait se montrer plus sensible en raison de la séparation de ses parents, ait pu mal interpréter (et non inventer) l'un ou l'autre geste de son professeur, sans que celui-ci n'ait eu l'intention d'y apporter une quelconque connotation sexuelle. Il est à cet égard frappant de constater que la jeune fille a elle-même douté maintes fois de la qualité des attouchements incriminés, évoquant des gestes prodigués " juste comme ça ", " comme si de rien n'était ", alors que son professeur " qui ne montrait rien " avait le regard ailleurs. Ces doutes se sont d'ailleurs manifestés à de nombreuses reprises dans le processus de dévoilement des faits. C'est ainsi que l’enfant s'est d'abord dit, à elle-même, que son professeur ne le faisait pas exprès. Au moment de questionner son amie, elle s'est demandé si elle se faisait " trop d'idées " ou si le prévenu ne faisait pas cela intentionnellement. Lorsque sa camarade lui a répondu par la négative en disant qu'il s'agissait probablement de " rigolade ", l'appelante a estimé que c'était possible. Au témoin L______ (qui a d'ailleurs relevé la grande confusion de la jeune fille au moment de ses déclarations), la plaignante a encore demandé de ne pas mettre la culpabilité sur son coach et demandé s'il " cro [yait] qu'il voulait vraiment [lui] toucher les fesses ". Au vu de ce qui précède, l'appel doit être rejeté et l'acquittement de C______ confirmé.</w:t>
      </w:r>
    </w:p>
    <w:p>
      <w:r>
        <w:rPr>
          <w:b/>
        </w:rPr>
        <w:t>E. 3</w:t>
      </w:r>
    </w:p>
    <w:p>
      <w:r>
        <w:t>3.1. L'appelante, qui succombe, supportera les frais d'appel, lesquels comprennent un émolument de CHF 1'500.- (art. 428 al. 1 CPP ; art. 14 al. 1 let. e du règlement fixant le tarif des frais en matière pénale [RTFMP]).</w:t>
      </w:r>
    </w:p>
    <w:p>
      <w:r>
        <w:rPr>
          <w:b/>
        </w:rPr>
        <w:t>E. 3.2</w:t>
      </w:r>
    </w:p>
    <w:p>
      <w:r>
        <w:t>Pour les mêmes motifs, elle sera déboutée de ses conclusions en indemnisation pour ses frais de défense (art. 436 al. 1 CPP et 433 al. 1 CPP).</w:t>
      </w:r>
    </w:p>
    <w:p>
      <w:r>
        <w:rPr>
          <w:b/>
        </w:rPr>
        <w:t>E. 4.1</w:t>
      </w:r>
    </w:p>
    <w:p>
      <w:r>
        <w:t>Aux termes de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Il n'y a cependant pas lieu de prendre en compte, dans l'application de l'art. 429 al. 1 let c CPP, les désagréments inhérents à toute poursuite pénale comme la charge psychique que celle-ci est censée entraîner normalement chez une personne mise en cause (ATF 143 IV 339 consid. 3.1)</w:t>
      </w:r>
    </w:p>
    <w:p>
      <w:r>
        <w:rPr>
          <w:b/>
        </w:rPr>
        <w:t>E. 4.2</w:t>
      </w:r>
    </w:p>
    <w:p>
      <w:r>
        <w:t>En l'espèce, l'intimé a sollicité qu'un montant de CHF 1'000.- lui soit alloué à titre de tort moral pour la procédure d'appel. Celui-ci avait déjà été indemnisé dans la procédure de première instance, le TP lui ayant alloué un montant de CHF 3'000.- en vue de réparer, d'une part, la détention injustifiée subie, et d'autre part, les désagréments extraordinaires subis, soit notamment l'interdiction de donner ses cours de tennis, désagréments qui ont à l'évidence dépassé la simple charge psychique liée à l'ouverture de la procédure pénale à son encontre. Reste que l'intimé n'a pas subi de nouvelle atteinte similaire lors de la procédure d'appel. S'il est compréhensible qu'elle ait continué à peser sur son quotidien, ladite procédure ne suffit pas à considérer que sa personnalité a été gravement atteinte au sens de l'art. 429 al. 1 let. c CPP au point qu'une indemnité pour tort moral lui soit allouée pour cette phase de la procédure. Ses prétentions en indemnisation seront dès lors rejetées.</w:t>
      </w:r>
    </w:p>
    <w:p>
      <w:r>
        <w:rPr>
          <w:b/>
        </w:rPr>
        <w:t>E. 5.1</w:t>
      </w:r>
    </w:p>
    <w:p>
      <w:r>
        <w:t>Selon l'art. 135 al. 1 CPP, le défenseur d'office est indemnisé conformément au tarif des avocats de la Confédération ou du canton du for du procès. L'indemnité, en matière pénale, est calculée selon le tarif horaire suivant, débours de l'étude inclus : collaborateur CHF 150.- (let. b), stagiaire : CHF 110.- (art. 16 du règlement sur l'assistance juridique [RAJ]).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 Le mandataire d'office doit en effet gérer son mandat conformément au principe d'économie de procédure (décision de la Cour des plaintes du Tribunal pénal fédéral BB.2013.22 du 31 octobre 2013 consid. 5.2.3).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La rémunération forfaitaire de la vacation aller/retour au Palais de justice est arrêtée à CHF 75.- pour les collaborateurs, dite rémunération étant allouée d'office par la juridiction d'appel pour les débats devant elle.</w:t>
      </w:r>
    </w:p>
    <w:p>
      <w:r>
        <w:rPr>
          <w:b/>
        </w:rPr>
        <w:t>E. 5.2</w:t>
      </w:r>
    </w:p>
    <w:p>
      <w:r>
        <w:t>L'état de frais produit par M e D______, défenseur d'office de C______, sera globalement admis, sous réserve du poste consacré aux recherches juridiques sur les expertises de crédibilité, qui sera réduit à 30 minutes, l'assistance judiciaire n'ayant pas pour vocation la formation des stagiaires. Il convient encore de compléter l'état de frais de la durée de l'audience (une heure et 40 minutes). Une vacation au Palais de justice (CHF 75.-) sera également accordée. La rémunération de M e D______ sera partant arrêtée à CHF 1'587.80 correspondant à huit heures et 5 minutes d'activité au tarif de CHF 150.-/heure (CHF 1'212.50), 30 minutes d'activité de stagiaire (CHF 55.-) plus la majoration forfaitaire de 10% (CHF 126.75), la vacation (CHF 75.-) et la TVA (CHF 118.55 correspondant à CHF 9.55 pour 45 minutes d'activité de collaborateur en 2023 [taux de 7.7%] et CHF 109.- pour le solde en 2024 [taux de 8.1 %]).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