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P/22128/2024 vom 26. März 2025</w:t>
      </w:r>
    </w:p>
    <w:p>
      <w:r>
        <w:t>GE Cour de justice, 2025-03-26, FR</w:t>
      </w:r>
    </w:p>
    <w:p>
      <w:r>
        <w:rPr>
          <w:b/>
        </w:rPr>
        <w:t xml:space="preserve">Quelle: </w:t>
      </w:r>
      <w:r>
        <w:t>https://mcp.opencaselaw.ch/entscheid/ge_gerichte_P_22128_2024</w:t>
      </w:r>
    </w:p>
    <w:p>
      <w:r>
        <w:t>FR: GE_GERICHTE P/22128/2024 du 26 mars 2025</w:t>
      </w:r>
    </w:p>
    <w:p>
      <w:r>
        <w:t>IT: GE_GERICHTE P/22128/2024 del 26 marzo 2025</w:t>
      </w:r>
    </w:p>
    <w:p>
      <w:pPr>
        <w:pStyle w:val="Heading2"/>
      </w:pPr>
      <w:r>
        <w:t>Regeste</w:t>
      </w:r>
    </w:p>
    <w:p>
      <w:r>
        <w:t>ASTUCE;ESCROQUERIE;ACTE DE DISPOSITION;DOMMAGE;ORDONNANCE DE NON-ENTRÉE EN MATIÈRE | CPP.310; CP.146</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 3.2.1. À teneur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tromperie par affirmations fallacieuses, il faut que l'auteur ait affirmé un fait dont il connaissait la fausseté.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140 IV 11 consid. 2.3.2 et 2.4.2; arrêts du Tribunal fédéral 6B_718/2018 du 15 mars 2019 consid. 4.3.1; 6B_817/2018 du 23 octobre 2918 consid. 2.3.1; 6B_530/2008 du 8 janvier 2009 consid. 3.2). 3.2.2.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 de même que si l'auteur dissuade la dupe de vérifier ou prévoit, en fonction des circonstances, qu'elle renoncera à le faire en raison d'un rapport de confiance particulier (ATF 147 IV 73 consid. 3.2; 142 IV 153 consid. 2.2.2; 135 IV 76 consid. 5.2). L'astuce n'est toutefois par réalisée si la dupe pouvait se protéger avec un minimum d'attention ou éviter l'erreur avec le minimum de prudence que l'on pouvait attendre d'elle. Il n'est cependant pas nécessaire qu'elle ait recouru à toutes les mesures possibles pour éviter d'être trompée.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 3.2.3. Une tromperie au sens de l'art. 146 CP peut notamment se rapporter à la volonté d'exécuter un contrat. Une telle tromperie n'est toutefois pas astucieuse dans tous les cas. Il est trop schématique d'affirmer que la volonté affichée est un phénomène intérieur invérifiable et qu'une tromperie relative à cette volonté est toujours astucieuse (ATF 118 IV 359 consid. 2; arrêt du Tribunal fédéral 6B_584/2018 du 30 août 2018 consid. 2.1). L'astuce est exclue lorsqu'on aurait raisonnablement pu exiger de la dupe qu'elle vérifie la capacité de l'auteur de fournir sa prestation, et qu'un tel examen, s'il avait été fait, aurait permis de constater que cette capacité faisait effectivement défaut (ATF 147 IV 73 consid. 3.3). Tel peut notamment être le cas lorsque la dupe a déjà eu une mauvaise expérience avec l'auteur par le passé (ATF 118 IV 359 consid. 2; arrêt du Tribunal fédéral 6B_440/2008 du 11 novembre 2008 consid. 4.1) ou encore en présence de modalités contractuelles risquées, par exemple la vente sur internet d'un produit de valeur, livré contre une facture (ATF 142 IV 153 consid. 2.2.4). 3.2.4. L'escroquerie implique que l'erreur ait déterminé le lésé à disposer de son patrimoine (ATF 150 IV 169 consid. 5.2.1). L'acte de disposition est tout acte ou omission qui entraîne directement un préjudice patrimonial. Il doit être la cause directe du préjudice; l'exigence d'une telle immédiateté découle de la définition même de l'escroquerie (arrêt du Tribunal fédéral 6S.263/2003 du 10 octobre 2003 consid. 3.3.1).</w:t>
      </w:r>
    </w:p>
    <w:p>
      <w:r>
        <w:rPr>
          <w:b/>
        </w:rPr>
        <w:t>E. 3.3</w:t>
      </w:r>
    </w:p>
    <w:p>
      <w:r>
        <w:t>En l'espèce, le recourant reproche au mis en cause de l'avoir trompé, lors de la conclusion de l'accord du 16 mai 2022 et de ses deux avenants, sur son intention de le rembourser. Or, force est de constater qu'un éventuel préjudice du recourant ne résulte pas directement de la conclusion desdits accords. En effet, la créance en paiement d'un montant de CHF 291'531.- est fondée sur le contrat de "joint-venture" de 2017, lequel – selon les déclarations du recourant – n'a pas fait l'objet d'une tromperie de la part du mis en cause. L'accord du 16 mai 2022, quant à lui, ne faisait que constater l'existence de la créance litigieuse. Ainsi, les éléments constitutifs de l'infraction d'escroquerie ne sont manifestement pas réunis. En toute hypothèse, rien ne permet de retenir qu'une éventuelle tromperie était astucieuse. En effet, le recourant – avocat de profession – ne prétend pas avoir pris les mesures de prudence qui pouvaient être exigées de lui pour se prémunir contre le défaut de paiement et avoir, ce nonobstant, été abusé. Il n'allègue pas non plus avoir procédé à des vérifications, lesquelles auraient permis de se renseigner sur la situation financière et légale de son cocontractant. Ces mesures s'imposaient d'autant plus que la créance portait sur un montant conséquent de CHF 291'531.- et qu'il ressort des avenants à l'accord du 16 mai 2022 que les sociétés du mis en cause se trouvaient dans une situation financière difficile. Le fait que le mis en cause ait constitué un droit de rétention sur des dépens d'un montant de CHF 160'000.- – à la fois en faveur de l'Étude C______ et des conseils anglais – n'y change rien. D'une part, le recourant n'était pas le bénéficiaire dudit gage. D'autre part, il ne prétend pas que les honoraires de l'Étude n'avaient pas été recouvrés. En tout état, que le mis en cause ait réglé les dettes à l'encontre de l'Étude ne dispensait pas le recourant de faire preuve de prudence, compte tenu du montant de sa créance, bien supérieure aux honoraires. Au vu de ce qui précède, faute de prévention pénale suffisante, point n'est besoin d'ordonner des actes d'enquête.</w:t>
      </w:r>
    </w:p>
    <w:p>
      <w:r>
        <w:rPr>
          <w:b/>
        </w:rPr>
        <w:t>E. 4</w:t>
      </w:r>
    </w:p>
    <w:p>
      <w:r>
        <w:t>Justifiée, l'ordonnance querellée sera donc confirmée.</w:t>
      </w:r>
    </w:p>
    <w:p>
      <w:r>
        <w:rPr>
          <w:b/>
        </w:rPr>
        <w:t>E. 5</w:t>
      </w:r>
    </w:p>
    <w:p>
      <w:r>
        <w:t>Le recourant, qui succombe, supportera les frais envers l'État, fixés en intégralité à CHF 1'500.-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