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P/22077/2016 vom 12. Juni 2018</w:t>
      </w:r>
    </w:p>
    <w:p>
      <w:r>
        <w:t>GE Cour de justice, 2018-06-12, FR</w:t>
      </w:r>
    </w:p>
    <w:p>
      <w:r>
        <w:rPr>
          <w:b/>
        </w:rPr>
        <w:t xml:space="preserve">Quelle: </w:t>
      </w:r>
      <w:r>
        <w:t>https://mcp.opencaselaw.ch/entscheid/ge_gerichte_P_22077_2016</w:t>
      </w:r>
    </w:p>
    <w:p>
      <w:r>
        <w:t>FR: GE_GERICHTE P/22077/2016 du 12 juin 2018</w:t>
      </w:r>
    </w:p>
    <w:p>
      <w:r>
        <w:t>IT: GE_GERICHTE P/22077/2016 del 12 giugno 2018</w:t>
      </w:r>
    </w:p>
    <w:p>
      <w:pPr>
        <w:pStyle w:val="Heading2"/>
      </w:pPr>
      <w:r>
        <w:t>Regeste</w:t>
      </w:r>
    </w:p>
    <w:p>
      <w:r>
        <w:t>IN DUBIO PRO REO ; INJURE ; MENACE(DROIT PÉNAL) | CP.177; CP.180; CPP.10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 parole contre parole ",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M. NIGGLI / M. HEER / H. WIPRÄCHTIGER [éds], Strafprozessordnung / Jugendstrafprozessordnung , Basler Kommentar StPO/JStPO, 2e éd., Bâle 2014, n. 83 ad art. 10). 2.2.1. Se rend coupable d'injure celui qui aura, par la parole, l'écriture, l'image, le geste ou par des voies de fait, attaqué autrui dans son honneur (art. 177 al. 1 CP). Sont considérées comme des injures formelles les termes : " fils de pute " (arrêt du Tribunal fédéral 6B_763/2014 du 6 janvier 2015 ; AARP/60/2018 du 6 février 2018 consid. 4.2) ou " pédé " ( AARP/79/2017 du 8 mars 2017 consid. 2.3). 2.2.2.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 2.3.1. En l'espèce, l'appelant nie avoir insulté ou menacé de mort l'intimé. Selon sa version constante des faits, bien qu'il se soit emporté, la discussion était normale. Or, G______ a déclaré avoir entendu les insultes et les menaces de mort. Certes, lors de son audition par la police, elle n'a pas donné d'élément quant à la configuration des lieux et l'emplacement des personnes. Toutefois, devant le Ministère public, elle a confirmé ses précédentes déclarations et précisé la position de chacun. Les indications apportées à ce sujet correspondent pour l'essentiel au récit de l'intimé, à savoir que le ton est d'abord monté dans le bureau des intendants, puis que les protagonistes sont sortis du bâtiment et se trouvaient dans la coursive du bâtiment dans lequel résidait l'appelant lorsqu'elle l'a entendu proférer les paroles incriminées. Bien qu'il n'ait pas entendu les propos échangés entre l'appelant et l'intimé, F______ a confirmé que le ton était monté. Il s'était aperçu que les propos tenus à l'encontre de son collègue avaient suffisamment déplu à celui-ci pour qu'il appelle le service de sécurité. Contrairement à la version des faits de l'appelant, celle de l'intimé paraît ainsi crédible, d'autant plus qu'il n'a jamais varié dans ses déclarations, qu'elle est corroborée par les témoignages de G______ et F______ et qu'on ne voit pas pour quel motif il accuserait à tort l'appelant. Partant, la CPAR retiendra que l'appelant a traité D______ de " pédé " et de " fils de pute " et l'a menacé de mort, ainsi que sa famille. Au vu de ce qui précède, il y a lieu de tenir également pour avéré que les propos ont été accompagnés d'un mime d'un geste d'égorgement, conformément aux déclarations de D______. 2.3.2. Les termes " fils de pute " et " pédé " constituent indéniablement des injures au vu de la jurisprudence citée sous consid. 3. Partant, le verdict de culpabilité d'injures au sens de l'art. 177 al. 1 CP sera confirmé. 2.3.2. Une menace de mort proférée à l'encontre du destinataire et de sa famille, accompagnée d'un geste mimant l'égorgement est une menace grave. L'intimé a déclaré avoir craint pour son intégrité physique au moment des faits. Il se méfiait de l'appelant et avait déjà eu recouru au service de sécurité à l'encontre de celui-ci. L'appelant, décrit comme une personne imposante et menaçante, était en colère contre lui qu'il soupçonnait de manigances visant à obtenir son expulsion du foyer. Partant, le verdict de culpabilité de menaces au sens de l'art. 180 al. 1 CP sera confirmé.</w:t>
      </w:r>
    </w:p>
    <w:p>
      <w:r>
        <w:rPr>
          <w:b/>
        </w:rPr>
        <w:t>E. 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L'appelant ne conteste la peine ni dans sa nature, ni dans sa quotité. La sanction de 50 jours-amende consacre une application correcte des critères fixés à l'art. 47 CP et tient compte de manière adéquate de la gravité de sa faute et de sa situation personnelle. Le montant du jour-amende, de CHF 10.- l'unité est également adéquat. La condamnation à une peine ferme apparaît nécessaire, les peines précédemment infligées n'ayant eu jusqu'ici aucun effet dissuasif. La CPAR se réfère à cet égard aux considérants et aux développements du premier juge (art. 82 al. 4 CPP). Le jugement entrepris sera par conséquent entièrement confirmé.</w:t>
      </w:r>
    </w:p>
    <w:p>
      <w:r>
        <w:rPr>
          <w:b/>
        </w:rPr>
        <w:t>E. 4</w:t>
      </w:r>
    </w:p>
    <w:p>
      <w:r>
        <w:t>L'appelant, qui succombe, supportera les frais de la procédure envers l'État (art. 428 CPP), qui comprennent un émolument de CHF 1'500.-.</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5.2.1. Selon l'art. 135 al. 1 CPP, le défenseur d'office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l'activité d'un chef d'étude, débours de l'étude inclus (let. c ; cf. décision de la Cour des plaintes du Tribunal pénal fédéral BB.2013.127 du 4 décembre 2013 consid. 3/4.2-4.4). En cas d'assujettissement, l'équivalent de la TVA est versé en sus. 5.2.2. Le nombre d'heures nécessaires pour assurer la défense d'office du prévenu est décisif pour fixer la rémunération de l'avocat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5.2.3.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l'espèce, seront retenues, en relation avec l'activité du défenseur d'office en appel, les trois heures et quarante-cinq minutes consacrées à la rédaction du mémoire d'appel, ainsi qu'une heure d'entretien avec le client. Le second rendez-vous ne s'imposait pas, une heure pour l'orienter sur les chances de succès et les coûts en cas de rejet, ainsi que pour recueillir ses déterminations, suffisant. Le temps consacré à la prise de connaissance du dossier ne sera pas pris en considération, celui-ci étant supposé connu puisqu'il venait d'être plaidé en première instance, et le forfait suffisant pour couvrir notamment la lecture du bref jugement.</w:t>
      </w:r>
    </w:p>
    <w:p>
      <w:r>
        <w:rPr>
          <w:b/>
        </w:rPr>
        <w:t>E. 5.4</w:t>
      </w:r>
    </w:p>
    <w:p>
      <w:r>
        <w:t>En conclusion, l'activité du défenseur d'office sera rémunérée, au taux horaire réservé au chef d'étude, à concurrence de quatre heures et quarante-cinq minutes (CHF 950.-), plus la majoration forfaitaire par 20% (CHF 190.-) et la TVA, au taux de 8% (CHF 91.20), selon la pratique transitoire du Pouvoir judiciaire, soit un total de CHF 1'231.20.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