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P/22048/2019 vom 17. November 2020</w:t>
      </w:r>
    </w:p>
    <w:p>
      <w:r>
        <w:t>GE Cour de justice, 2020-11-17, FR</w:t>
      </w:r>
    </w:p>
    <w:p>
      <w:r>
        <w:rPr>
          <w:b/>
        </w:rPr>
        <w:t xml:space="preserve">Quelle: </w:t>
      </w:r>
      <w:r>
        <w:t>https://mcp.opencaselaw.ch/entscheid/ge_gerichte_P_22048_2019</w:t>
      </w:r>
    </w:p>
    <w:p>
      <w:r>
        <w:t>FR: GE_GERICHTE P/22048/2019 du 17 novembre 2020</w:t>
      </w:r>
    </w:p>
    <w:p>
      <w:r>
        <w:t>IT: GE_GERICHTE P/22048/2019 del 17 novembre 2020</w:t>
      </w:r>
    </w:p>
    <w:p>
      <w:pPr>
        <w:pStyle w:val="Heading2"/>
      </w:pPr>
      <w:r>
        <w:t>Regeste</w:t>
      </w:r>
    </w:p>
    <w:p>
      <w:r>
        <w:t>BRIGANDAGE;FIXATION DE LA PEINE | CP.140.ch1;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L'infraction à l'art. 140 ch. 1 CP est passible d'une peine privative de liberté de six mois à dix ans.</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2.3</w:t>
      </w:r>
    </w:p>
    <w:p>
      <w:r>
        <w:t>Dans l'exercice de son pouvoir d'appréciation, le juge doit respecter, en particulier, le principe d'égalité de traitement (art. 8 al. 1 Cst. féd.;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w:t>
      </w:r>
    </w:p>
    <w:p>
      <w:r>
        <w:rPr>
          <w:b/>
        </w:rPr>
        <w:t>E. 2.4</w:t>
      </w:r>
    </w:p>
    <w:p>
      <w:r>
        <w:t>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w:t>
      </w:r>
    </w:p>
    <w:p>
      <w:r>
        <w:rPr>
          <w:b/>
        </w:rPr>
        <w:t>E. 2.5</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2.6</w:t>
      </w:r>
    </w:p>
    <w:p>
      <w:r>
        <w:t>En l'espèce, la faute de l'appelant est objectivement lourde. Il s'est associé au projet de G______ dès le début du plan ourdi par le précité. Il a ainsi fait partie du groupe d'agresseurs qui devait prendre à partie les victimes aux fins de commettre à leur encontre un racket d'un montant substantiel d'argent, en leur "mettant la pression". Si pour d'aucuns membres du groupe, à l'instar de F______, il ne devait pas y avoir de violences physiques, du moins pas de violences exacerbées, tel n'a visiblement pas été le point de vue de G______ et de l'appelant qui se sont immédiatement montrés brutaux envers les victimes. Ces dernières ont tout d'abord été conduites à dessein et sous un prétexte mensonger par F______ dans un sous-sol, à proximité immédiate de l'endroit d'où a surgi le groupe d'au moins sept agresseurs, dont l'appelant, une arme ayant été exhibée et l'un des agresseurs étant cagoulé. Le chemin vers la sortie leur a été barré. Sans aucun espoir de résistance vu le nombre d'assaillants et les moyens employés, les victimes ont été menacées, molestées, déshabillées et aspergées, avant d'être conduites dans un sous-sol plus bas et à l'écart. Là, elles ont été à nouveau menacées et rouées de coups, notamment par l'appelant qui les a frappées au moyen de l'arme. Il leur a été intimé de leur remettre une forte somme d'argent, alors qu'on leur faisait leurs poches. Avant de quitter les lieux, les agresseurs, les laissant blessées, les ont encore menacées de mort au cas où elles tentaient de partir, sinon d'alerter la police. L'appelant ne s'est jamais désolidarisé du groupe et en a fait partie jusqu'au moment où les victimes ont été abandonnées à leur sort. Hormis qu'au stade de l'appel, le verdict de culpabilité n'est plus remis en question, les éléments qui précèdent reposent sur les mises en cause constantes et crédibles de l'ensemble des comparses de A______, lequel n'a en définitive reconnu que très partiellement son implication dans la commission des faits reprochés, atténuant son rôle. L'appelant a, en effet, déployé bien plus de violence que celle qui aurait été nécessaire aux fins de soustraire les maigres biens que les victimes avaient sur elles. Le groupe des agresseurs a par ailleurs objectivement privé celles-ci de leur liberté, l'absence d'appel joint du MP interdisant de revoir le verdict sous l'angle d'un brigandage aggravé, sinon d'une infraction, en concours, de séquestration et enlèvement (art. 183 ch. 1 CP). L'appelant s'en est personnellement pris aux deux victimes, qui étaient en pleurs et suppliaient, ce qu'il n'a pas manqué d'entendre. Son rôle - déterminant - a été celui d'assister au plus près G______, le meneur du groupe. Il avait l'espoir d'obtenir une part du butin escompté comme important, à la lumière des CHF 7'000.- que le précité avait déjà obtenu en grugeant l'une des victimes. En ce sens, sa volonté criminelle a été très intense. Ses mobiles ont consisté en l'appât d'un gain mal acquis, comme relevé par le premier juge, ce que l'appelant, à défaut de son conseil, a fini par concéder par-devant la CPAR. Sa faute est bien plus importante que celle de son comparse F______, qui, s'il a joué un rôle nécessaire dans la bonne exécution du plan, est resté en retrait et n'a pas violenté les victimes. Le précité a par ailleurs immédiatement reconnu les faits et s'est excusé envers les victimes. Au demeurant, référence étant faite à la jurisprudence susrappelée, la CPAR n'est pas liée par la quotité de la peine fixée en première instance pour F______, laquelle apparaît se situer dans une fourchette basse au vu de la gravité intrinsèque des faits commis par les membres du groupe. La CPAR est d'avis que, sans restriction de responsabilité, la peine hypothétique de l'appelant aurait dû être fixée entre 3,5 ans et 4 ans de peine privative de liberté. Toutefois, au vu de son retard mental léger en particulier, qui l'a empêché de se déterminer pleinement sur le caractère illicite de l'entreprise et, le cas échéant, de se réfréner, il y a lieu de prendre en compte sa responsabilité restreinte, dont le degré a été qualifié de moyen par les experts. A cet égard, il convient de mettre en exergue que les experts ont déjà soupesé la dynamique de groupe dans les faits reprochés à l'appelant, l'ayant qualifiée de facteur incertain, tout au plus probable dans les déterminants de la volonté de l'intéressé. En tout état, ce facteur est englobé dans leur appréciation concernant la responsabilité. L'effet de groupe soutenu à décharge par l'appelant ne s'est pas concrétisé autrement que par la potentialisation de la violence déployée par chacun de ses membres pris uniformément. Au-delà de l'atténuation de la peine entraînée par la responsabilité restreinte de l'appelant, il faut apprécier les autres composantes en impactant la fixation. Rien n'a obligé l'appelant à suivre ses comparses. En particulier, il n'était pas sous le joug de représailles s'il ne s'exécutait pas. Au contraire, il a bien été motivé par l'espoir de gagner rapidement une somme d'argent conséquente. Le motif des représailles allégué en appel ne peut être compris que comme un palliatif à l'absence d'aveux jusqu'alors, de sorte à soutenir le revirement tardif de l'appelant. Ses antécédents ne sont pas bons et les faits de la cause démontrent qu'il n'a tiré aucune leçon du passé, bien au contraire, vu l'escalade dans les biens juridiques lésés. L'appelant n'avait pas une situation personnelle difficile. Il avait le soutien effectif de sa mère et recevait une aide financière de l'Hospice général. Sur le plan médical, toutes possibilités de prise en charge lui étaient ouvertes, mais il n'a pas su les saisir. Le jeune âge n'est plus un facteur obligatoire de réduction de la peine. En l'occurrence, l'influençabilité de l'appelant reste inhérente à ses troubles et a été correctement appréhendée par les experts. Sa collaboration a été désastreuse et ses problèmes psychiques ne sont pas de nature à permettre de comprendre son attitude de déni total jusqu'aux débats d'appel. Par-devant la CPAR, l'appelant a passé sous silence des éléments essentiels des faits reprochés. En ce sens, son récit manque de franchise et de sincérité ; il apparaît comme tactique, référence étant faite aux spéculations de l'appelant sur l'absence de traces ADN lui correspondant sur l'arme, l'intéressé escomptant la mansuétude de ses juges. Sa prise de conscience est à l'encan, s'agissant tant des conséquences de ses actes que de sa maladie et de la nécessité de se soigner. Tout au plus, ne s'agirait-il alors que d'une ébauche - heureuse - s'agissant de tenter de comprendre quels ont été les ressorts qui l'ont mû, au-delà de sa minimisation des actes pour lesquels sa culpabilité a été reconnue. Elle est en tout état trop récente pour démontrer à la CPAR un revirement certain et lui donner des garanties pour l'avenir. L'appelant a, avant tout, besoin de soins et la mesure ordonnée - non critiquée - sera de nature à déterminer favorablement son évolution future, la peine étant suspendue au profit de celle-ci (cf. art. 57 al. 2 CP). La réduction de la faute de l'appelant en lien avec sa responsabilité est ainsi en partie contrebalancée par les éléments qui précèdent. Il en résulte que la peine arrêtée par le premier juge apparaît comme adéquate et conforme à la culpabilité de l'appelant. Compte tenu du risque de récidive élevé mis en avant par les experts et de la montée en puissance criminelle de l'appelant, le pronostic est défavorable, étant rappelé que le caractère ferme de la peine n'a pas fait, à bon droit, l'objet d'un grief autonome soulevé par l'appelant. La peine privative de liberté ferme de deux ans sera, partant, confirmée.</w:t>
      </w:r>
    </w:p>
    <w:p>
      <w:r>
        <w:rPr>
          <w:b/>
        </w:rPr>
        <w:t>E. 3</w:t>
      </w:r>
    </w:p>
    <w:p>
      <w:r>
        <w:t>L'exécution anticipée des peine et mesure ayant été ordonnée le 21 août 2020, l'appelant est soumis au régime de l'exécution (cf. art. 236 al. 4 CPP) ; il n'y a dès lors plus place à une détention pour des motifs de sûreté.</w:t>
      </w:r>
    </w:p>
    <w:p>
      <w:r>
        <w:rPr>
          <w:b/>
        </w:rPr>
        <w:t>E. 4</w:t>
      </w:r>
    </w:p>
    <w:p>
      <w:r>
        <w:t>L'appelant, qui succombe, supportera les frais de la procédure envers l'Etat (art. 428 CPP).</w:t>
      </w:r>
    </w:p>
    <w:p>
      <w:r>
        <w:rPr>
          <w:b/>
        </w:rPr>
        <w:t>E. 5</w:t>
      </w:r>
    </w:p>
    <w:p>
      <w:r>
        <w:t>5.1.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ou la requête d'exécution anticipée de la peine (décision de la Cour des plaintes du Tribunal pénal fédéral BB.2013.22 du 31 octobre 2013 consid. 5.2.3).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 er juin 2015 [lecture des jugements, déclaration d'appel, ordonnance et arrêt de la CPAR]).</w:t>
      </w:r>
    </w:p>
    <w:p>
      <w:r>
        <w:rPr>
          <w:b/>
        </w:rPr>
        <w:t>E. 5.3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5.4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5.5</w:t>
      </w:r>
    </w:p>
    <w:p>
      <w:r>
        <w:t>En l'occurrence, le temps consacré à la rédaction de l'annonce d'appel, de la demande d'exécution anticipée de mesure et de la déclaration d'appel, ainsi qu'à la prise de connaissance du jugement motivé n'a pas à être indemnisé, étant couvert par le forfait ( vide supra consid. 5.2.). Il en va de même pour les quatre parloirs téléphoniques de dix minutes, lesquels n'apparaissent pas justifiés par des exigences procédurales - référence étant notamment faite à la généralité des libellés adossés à leur mention dans l'état de frais -, alors même que des parloirs ont été facturés selon la fréquence reconnue par la jurisprudence consacrée ( vide supra consid. 5.3.). Enfin, le temps facturé pour la préparation de l'audience d'appel sera ramené à quatre heures, lesquelles apparaissent comme suffisantes eu égard à la complexité modérée de la cause, seule la quotité de la peine étant contestée en appel. Cela dit, il convient en sus d'indemniser le parloir préalable aux débats d'appel (0h15) et la durée de ceux-ci (1h00) ainsi que de la vacation y relative (CHF 75.-). Un forfait de 10% pour les divers téléphones, courriers, etc., sera alloué, le travail de la défenseure d'office dépassant les 30 heures d'activité en première instance. La rémunération de M e C______ sera ainsi arrêtée à CHF 2'327.25, correspondant à 12 heures et 55 minutes d'activité au tarif de CHF 150.-/heure (CHF 1'937.50) et à une heure d'activité au tarif de CHF 110.-/heure (CHF 110.-) plus la majoration forfaitaire de 10% (CHF 204.75), ainsi que la vacation de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