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P/22003/2016 vom 11. September 2019</w:t>
      </w:r>
    </w:p>
    <w:p>
      <w:r>
        <w:t>GE Cour de justice, 2019-09-11, FR</w:t>
      </w:r>
    </w:p>
    <w:p>
      <w:r>
        <w:rPr>
          <w:b/>
        </w:rPr>
        <w:t xml:space="preserve">Quelle: </w:t>
      </w:r>
      <w:r>
        <w:t>https://mcp.opencaselaw.ch/entscheid/ge_gerichte_P_22003_2016</w:t>
      </w:r>
    </w:p>
    <w:p>
      <w:r>
        <w:t>FR: GE_GERICHTE P/22003/2016 du 11 septembre 2019</w:t>
      </w:r>
    </w:p>
    <w:p>
      <w:r>
        <w:t>IT: GE_GERICHTE P/22003/2016 del 11 settembre 2019</w:t>
      </w:r>
    </w:p>
    <w:p>
      <w:pPr>
        <w:pStyle w:val="Heading2"/>
      </w:pPr>
      <w:r>
        <w:t>Regeste</w:t>
      </w:r>
    </w:p>
    <w:p>
      <w:r>
        <w:t>DOMMAGES À LA PROPRIÉTÉ(DROIT PÉNAL);IN DUBIO PRO REO | CP.144; CPP.126.al2.letB</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de dalles " H______ " ainsi que CHF 856.25 pour le tri et l'évacuation des dalles cassées. L'appelante ne démontre toutefois pas quelle quantité de dalles aurait été brisées par l'intimé, de sorte que la CPAR ne peut, en l'état, se prononcer sur ses conclusions civiles, faute d'être suffisamment prouvées. L'appelante sera dès lors renvoyée à agir par la voie civile en application de l'art. 126 al. 2 let. b CPP.</w:t>
      </w:r>
    </w:p>
    <w:p>
      <w:r>
        <w:rPr>
          <w:b/>
        </w:rPr>
        <w:t>E. 2.2</w:t>
      </w:r>
    </w:p>
    <w:p>
      <w:r>
        <w:t>L'art. 144 al. 1 CP punit, sur plainte, d'une peine privative de liberté de trois ans au plus ou d'une peine pécuniaire celui qui aura endommagé, détruit ou mis hors d'usage une chose appartenant à autrui ou frappée d'un droit d'usage ou d'usufruit au bénéfice d'autrui. L'infraction doit porter sur un objet corporel, mobilier ou immobilier, appartenant à autrui. L'auteur se rend coupable de dommages à la propriété dès qu'il cause un changement de l'état de la chose qui n'est pas immédiatement réversible sans frais ni effort et qui porte atteinte à un intérêt légitime (ATF 128 IV 250 consid. 2 p. 252 ; arrêts du Tribunal fédéral 6B_77/2017 du 16 janvier 2018 consid. 2.1 et les références). La protection pénale est donnée même aux choses objectivement sans valeur économique ou esthétique. (B. CORBOZ, Les Infractions en droit suisse , Berne 2010, vol. I., n. 20-21 ad art. 144 et les références citées).</w:t>
      </w:r>
    </w:p>
    <w:p>
      <w:r>
        <w:rPr>
          <w:b/>
        </w:rPr>
        <w:t>E. 2.3</w:t>
      </w:r>
    </w:p>
    <w:p>
      <w:r>
        <w:t>En l'espèce, l'appelante a produit un bulletin, daté du 17 septembre 1991, qui concerne la livraison de deux " palettes de pierre dallage H______ - Solde fin de chantier toutes dimensions toutes largeurs ". On peut admettre que ce bulletin de livraison fait référence aux deux palettes de dalles " H______ " endommagées par l'intimé, dès lors que les parties se sont toutes deux accordées à dire que ces dalles provenaient d'un solde de fin de chantier, et qu'elles avaient été acquises 25 ans avant la date de l'incident, soit aux alentours d'octobre 1991. L'intimé ne conteste au demeurant pas que ce document concerne les dalles endommagées. Ce bulletin indique que la livraison est adressée à E______, sous le nom duquel figure le tampon de l'entreprise A______ SA. Ce tampon figure également au bas du document avec la mention " payé ". Il apparaît ainsi que la livraison des dalles " H______ " était destinée, en 1991, à l'entreprise A______ SA, et non à D______ SA. Les deux sociétés existant déjà à cette date, ce bulletin constitue un sérieux indice quant à la propriété des dalles, en faveur de la société A______ SA. Le fait que C______ ait acquis la société D______ SA en 2014, avec un " stock marchandises " inscrit au bilan à une valeur de CHF 69'000.- n'est pas propre à démontrer le contraire, dès lors que l'on ignore en quoi constituait exactement ce stock. Les témoignages de J______ et K______, employés de D______ SA, n'apportent pas non plus d'éclairage particulier en lien avec la propriété de ces dalles. En effet, aucun d'eux n'a assisté aux discussions entourant la vente de la société D______ SA. Dans l'hypothèse où les dalles auraient appartenu, avant 2014, à cette dernière, ces deux employés ne pouvaient dans tous les cas pas savoir si elles avaient fait partie ou non de la reprise de la société. Au surplus, J______, employé depuis 1986 par A______ SA, puis par D______ SA a indiqué seulement " supposer " que les dalles appartenaient à D______ SA, admettant ensuite qu'il était difficile de déterminer si elles appartenaient à l'une ou à l'autre des sociétés. Quant à K______, il a commencé à travailler pour la société D______ SA le 2 février 2014, soit après la reprise de la société par C______. Ainsi, et si on peut admettre qu'il ait pensé que ces dalles appartenaient à D______ SA, il ne pouvait avoir aucune certitude à ce sujet. Il n'a d'ailleurs pas été en mesure d'expliquer concrètement d'où il tenait cette information. Les différents échanges de courriers et courriels entre C______ et la REGIE G______ ainsi que les photographies annexées achèvent de convaincre que les dalles endommagées appartenaient à A______ SA, ce dont l'intimé était d'ailleurs conscient. En effet, ce dernier a à plusieurs reprises écrit à la régie, précisant que le matériel entreposé à l'arrière du bâtiment n'appartenait pas à sa société. Le courriel du 5 novembre 2014 est à ce sujet éloquent. L'intimé y indique avoir procédé au nettoyage et rangement de "[s] a partie ", sollicitant de la régie, photographies à l'appui, que le propriétaire d'un tunnel - soit A______ SA - en fasse de même. Les photographies jointes à ce courriel mettent clairement en évidence les dalles " H______ ", dont on comprend alors qu'elles n'appartiennent pas à la société de l'intimé puisqu'il vient de procéder au rangement de "[s] a partie ". Il en va de même du courrier qu'il adresse à la REGIE G______ le 13 octobre 2016, quelques jours seulement après avoir endommagé les dalles, et dans lequel il précise que " le matériel et la remorque blanche ne sont pas [leur] propriété (voir photos 1 et 2, document "E" ci-joint) ". Les photographies en question montrent une remorque blanche, ainsi que du matériel parmi lequel on reconnaît facilement les dalles " H______ ". Les explications de l'intimé selon lesquelles il aurait envoyé " sans y faire attention une photo où figure un mélange de matériel " ne paraissent pas crédibles. Ce dernier avait en effet visiblement apporté beaucoup d'attention à son courrier du 13 octobre 2016, joignant de nombreuses photographies soigneusement numérotées. La CPAR constate enfin qu'après avoir brisé les dalles " H______ ", C______ a déposé la palette sur lesquelles elles avaient été entreposées devant le tunnel qu'il savait appartenir à A______ SA. Il n'aurait pas eu de raison d'agir ainsi s'il savait - ou à tout le moins pensait - que la palette, et donc les dalles, appartenaient à sa société. L'intimé a par ailleurs laissé les dalles brisées dans la cour, après avoir rangé l'ensemble des autres objets qui s'y trouvaient, puis fait balayer l'ensemble des surfaces extérieures (ainsi que l'intérieur des tunnels), excepté la zone située autour des dalles qu'il venait de briser. S'il avait pensé que ces dalles lui appartenaient, il les aurait plus probablement rangées à l'intérieur de ses propres tunnels, avec les autres objets, ou aurait à tout le moins également procédé au nettoyage de la surface située à proximité des dalles. Il existe ainsi un faisceau d'indices convergents amenant la CPAR à la conviction, au-delà de tout doute raisonnable, que, d'une part, les dalles " H______ " endommagées par l'intimé appartenaient à la société A______ SA, et d'autre part, que l'intimé le savait. C______ les ayant endommagées volontairement, il sera reconnu coupable de dommages à la propriété (art. 144 al. 1 CP), l'appel étant admis sur ce point.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3.1.2. Le nouveau droit des sanctions n'étant pas plus favorable à l'intimé, il n'en sera pas fait application (art. 2 al. 2 CP) . Au sens de l'art.34 al. 1 aCP, la peine pécuniaire ne peut excéder 360 jours-amende. Le juge fixe leur nombre en fonction de la culpabilité de l'auteur. Le jour-amende est de CHF 3000.- au plus. Le juge en fixe le montant selon la situation personnelle de l'auteur au moment du jugement, notamment en tenant compte de son revenu et de sa fortune, de son mode de vie, de ses obligations d'assistance, en particulier familiales et du minimum vital (art. 34 al. 2 aCP). 3.1.3. L'art. 42 al. 1 aCP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3.2. En l'espèce, la faute de l'intimé est moyenne. Excédé par les querelles durables avec l'entreprise voisine et par l'attitude de son propriétaire, il a sciemment brisé des objets qu'il savait lui appartenir. Sa collaboration, de même que sa prise de conscience sont médiocres, l'intimé ayant soutenu jusqu'à appel que les dalles endommagées lui appartenaient, dans le but d'éviter d'assumer ses responsabilités. Le prononcé d'une peine pécuniaire apparaît adéquat. Elle sera fixée à 20 jours-amende à CHF 80.-, tenant compte de la situation financière de l'intimé. Le pronostic n'étant pas défavorable, les antécédents de l'appelant n'étant pas spécifiques, le sursis lui sera accordé, un délai d'épreuve de trois ans étant de nature à le dissuader de la commission de nouvelles infractions. 4.1.1. Aux termes de l'art. 122 CPP, en qualité de partie plaignante, le lésé peut faire valoir des conclusions civiles déduites de l'infraction par adhésion à la procédure pénale. Dans la mesure du possible, elle chiffre ses conclusions civiles dans sa déclaration et les motive par écrit; elle cite les moyens de preuve qu'elle entend invoquer (art. 123 al. 1 CPP).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4.1.2. Selon l'art. 41 al. 1 CO, chacun est tenu de réparer le dommage qu'il cause à autrui d'une manière illicite, soit intentionnellement, soit par négligence ou imprudence. La preuve du dommage incombe au demandeur (art. 42 al. 1 CO). 4.2. En l'espèce, l'appelante réclame le paiement par l'intimé de CHF 2'501.90 avec intérêts à 5% l'an dès le 7 octobre 2016 comprenant un montant de CHF 1'645.65 pour le remplacement de 8 m</w:t>
      </w:r>
    </w:p>
    <w:p>
      <w:r>
        <w:rPr>
          <w:b/>
        </w:rPr>
        <w:t>E. 5.1</w:t>
      </w:r>
    </w:p>
    <w:p>
      <w:r>
        <w:t>Selon l'art. 428 al. 1, 1ère phrase, CPP, les frais de la procédure de recours sont mis à la charge des parties dans la mesure où elles ont obtenu gain de cause ou succombé. Si elle rend une nouvelle décision, l'autorité d'appel se prononce également sur les frais fixés par l'autorité inférieure (art. 428 al. 3 CPP).</w:t>
      </w:r>
    </w:p>
    <w:p>
      <w:r>
        <w:rPr>
          <w:b/>
        </w:rPr>
        <w:t>E. 5.2</w:t>
      </w:r>
    </w:p>
    <w:p>
      <w:r>
        <w:t>En l'espèce, l'intimé, qui est condamné pour dommages à la propriété, succombe. Il supportera les frais de la procédure d'appel, comprenant un émolument de CHF 1'000.- (art. 428 CPP et 14 al. 1 let. e du règlement fixant le tarif des frais en matière pénale du 22 décembre 2010 [RTFMP - E 4 10.03]). Il sera également condamné au paiement des frais de procédure de première instance de CHF 1'277.- (art. 426 al. 1 CPP).</w:t>
      </w:r>
    </w:p>
    <w:p>
      <w:r>
        <w:rPr>
          <w:b/>
        </w:rPr>
        <w:t>E. 6</w:t>
      </w:r>
    </w:p>
    <w:p>
      <w:r>
        <w:t>6.1.1.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e éd., Bâle 2014, n. 10 ad art. 433 ; N. SCHMID, Schweizerische Strafprozessordnung : Praxiskommentar , 2 e éd., Zurich 2013, n. 6 ad art. 433).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A. KUHN / Y. JEANNERET [éds], Commentaire romand : Code de procédure pénale suisse , Bâle 2011, n. 8 ad art. 433 ; N. SCHMID, op. cit. , n. 3 ad art. 433). 6.1.2. Les honoraires d'avocat doivent être proportionnés (N. SCHMID, Schweizerische Strafprozessordnung : Praxiskommentar , 2e éd., Zurich 2013,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Seuls les frais de défense correspondant à une activité raisonnable, au regard de la complexité, respectivement la difficulté, de l'affaire et de l'importance du cas doivent être indemnisés. L'autorité compétente dispose d'un large pouvoir d'appréciation pour juger du caractère approprié des démarches accomplies (ATF 139 IV 241 , consid. 2.1; 138 IV 197 , consid. 2.3.4; arrêt du Tribunal fédéral 6B_928/2014 du 10 mars 2016 consid. 3.1.2).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6.2</w:t>
      </w:r>
    </w:p>
    <w:p>
      <w:r>
        <w:t>En l'espèce,le temps consacré par les différents mandataires de l'appelante, tant en première instance (34 heures et 55 minutes) qu'en procédure d'appel (neuf heures et 15 minutes), est excessif au regard de la nature, de l'importance et de la complexité limitée de la cause. La CPAR relève en outre que le premier mandataire de l'appelante a facturé la totalité des activités déployées à un tarif de CHF 500.-, qu'elles aient été effectuées par un avocat collaborateur ou un chef d'étude. Compte tenu de l'enjeu et de la faible complexité de la cause, la CPAR estime que le temps consacré à la procédure de première instance n'aurait pas dû dépasser les dix heures d'activités, qui paraissent largement suffisantes à la rédaction d'une plainte (une heure), un entretien avec le client (une heure), la préparation et la présence à deux audiences (six heures), les diverses communications avec le client (une heure) ainsi que l'examen des différentes pièces et éventuelles recherches juridiques (une heure). Une indemnité de CHF 4'308.- correspondant à 10 heures d'activités à CHF 400.- (tenant compte du fait qu'une partie des activités a été réalisée par un collaborateur) TVA à 7.7% incluse, sera ainsi accordée à l'appelante pour les dépenses obligatoires occasionnées par la procédure de première instance. L'indemnité pour la procédure d'appel sera arrêtée à CHF 1'723.20, correspondant à quatre heures d'activité à CHF 400.- (TVA incluse), la CPAR estimant que la rédaction de deux mémoires de 15 pages, respectivement 9 pages n'était pas nécessaire, encore une fois, eu égard à la faible complexité de l'affaire. En conclusion, l'indemnité due par C______ à A______ SA pour les dépenses obligatoires occasionnées par la procédure (art. 433 CPP) sera arrêtée à CHF 6'031.20 correspondant à 14 heures d'activité au tarif de CHF 400.-/heure (TVA incluse).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