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P/21962/2017 vom 3. Dezember 2018</w:t>
      </w:r>
    </w:p>
    <w:p>
      <w:r>
        <w:t>GE Cour de justice, 2018-12-03, FR</w:t>
      </w:r>
    </w:p>
    <w:p>
      <w:r>
        <w:rPr>
          <w:b/>
        </w:rPr>
        <w:t xml:space="preserve">Quelle: </w:t>
      </w:r>
      <w:r>
        <w:t>https://mcp.opencaselaw.ch/entscheid/ge_gerichte_P_21962_2017</w:t>
      </w:r>
    </w:p>
    <w:p>
      <w:r>
        <w:t>FR: GE_GERICHTE P/21962/2017 du 3 décembre 2018</w:t>
      </w:r>
    </w:p>
    <w:p>
      <w:r>
        <w:t>IT: GE_GERICHTE P/21962/2017 del 3 dicembre 2018</w:t>
      </w:r>
    </w:p>
    <w:p>
      <w:pPr>
        <w:pStyle w:val="Heading2"/>
      </w:pPr>
      <w:r>
        <w:t>Regeste</w:t>
      </w:r>
    </w:p>
    <w:p>
      <w:r>
        <w:t>RÈGLE DE LA CIRCULATION ; EXCÈS DE VITESSE ; ERREUR DE DROIT(EN GÉNÉRAL) ; ERREUR SUR LES FAITS(EN GÉNÉRAL) | LCR.90.al2; LCR.1.al2; OCR.4a.al1.leta; CP.13; CP.21; CP.106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 Selon l'art. 1 al. 2 LCR, les conducteurs de véhicules automobiles et les cyclistes sont soumis aux règles de la circulation sur toutes les routes servant à la circulation publique. La LCR doit donc être observée par tous les usagers, y compris par les étrangers, qui ne sont pas excusables de ne pas les connaître (ATF 87 II 301 , JdT 1962, I 398 n°9).</w:t>
      </w:r>
    </w:p>
    <w:p>
      <w:r>
        <w:rPr>
          <w:b/>
        </w:rPr>
        <w:t>E. 2.2</w:t>
      </w:r>
    </w:p>
    <w:p>
      <w:r>
        <w:t>. Selon l'art. 32 al. 2 LCR, le Conseil fédéral limitera la vitesse des véhicules automobiles sur toutes les routes. Dite autorité a ainsi fixé la vitesse maximale générale des véhicules à 50 km/h dans les localités et à 80 km/h hors des localités (à l'exception des semi-autoroutes et des autoroutes) (art. 4 a al. 1 let. a de l'Ordonnance sur les règles de la circulation routière du 13 novembre 1962 [OCR - RS 741.11]). 2.3.1 . Les limitations et prescriptions relatives à la circulation des véhicules automobiles et des cycles doivent être indiquées par des signaux ou des marques, lorsqu'elles ne s'appliquent pas à l'ensemble du territoire suisse (art. 5 al. 1 LCR). 2.3.2. D'après l'art. 103 al. 1 phr. 2 de l'Ordonnance sur la signalisation routière du</w:t>
      </w:r>
    </w:p>
    <w:p>
      <w:r>
        <w:rPr>
          <w:b/>
        </w:rPr>
        <w:t>E. 2.4</w:t>
      </w:r>
    </w:p>
    <w:p>
      <w:r>
        <w:t>. La limitation de vitesse des véhicules en localité commence au signal «Vitesse maximale 50, Limite générale» (2.30.1) et se termine au signal «Fin de la vitesse maximale 50, Limite générale» (2.53.1) (art. 4 a al. 2 OCR).</w:t>
      </w:r>
    </w:p>
    <w:p>
      <w:r>
        <w:rPr>
          <w:b/>
        </w:rPr>
        <w:t>E. 2.5</w:t>
      </w:r>
    </w:p>
    <w:p>
      <w:r>
        <w:t>. Le revers du panneau de localité constitue le signal «Fin de localité sur route principale» ou «Fin de localité sur route secondaire» ; il porte, dans l'espace supérieur, le nom de la prochaine agglomération et, dans l'espace inférieur, celui du centre de destination le plus proche ainsi que son éloignement. Si une bifurcation se présente après le panneau, deux centres de destination peuvent être indiqués (art. 50 al. 3 OSR). 2 .6 . Conformément à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 cf . arrêt du Tribunal fédéral 6B_444/2016 du 3 avril 2017). Subjectivement, l'état de fait de l'art. 90 al. 2 LCR exige, selon la jurisprudence, un comportement sans scrupules ou gravement contraire aux règles de la circulation, c'est-à-dire une faute grave et, en cas d'acte commis par négligence, à tout le moins une négligence grossière. En principe, il y a lieu de retenir une négligence grossière lorsque la violation des règles de la circulation routière est objectivement grave. L'absence de scrupules sera exceptionnellement niée lorsque les circonstances particulières du cas d'espèce font apparaître le comportement de l'auteur sous un jour plus favorable (arrêt du Tribunal fédéral 6B_665/2015 du 15 septembre 2016 consid. 2.1.2 et les références). Plus la violation de la règle de la circulation apparaît objectivement grave, plus facilement sera admis l'existence d'une absence de scrupule, sauf indice particulier permettant de retenir le contraire. L'acceptation de l'absence de scrupules ne peut cependant pas être déduite de toute inattention ( cf . ATF 142 IV 93 consid. 3.1 p. 96 et les références ; ATF 143 IV 500 consid. 2 ; arrêt du Tribunal fédéral 6B_23/2016 du 9 décembre 2016 consid. 3.2).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p. 237 s. ; 124 II 259 consid. 2b p. 261 ss, 123 II 106 consid. 2c p. 113 et les références citées).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Le Tribunal fédéral a régulièrement nié l'existence de telles circonstances à décharge (arrêts du Tribunal fédéral 6B_1011/2013 du 13 mars 2014 consid. 2.1 ; 6B_571/2012 du 8 avril 2013 consid. 3.4). 2.7.1.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Il y a erreur sur les faits, selon l'art. 13 CP, lorsque l'infraction est commise dans l'ignorance ou sous l'influence d'une appréciation incorrecte de l'un de ses éléments constitutifs. L'erreur de l'auteur peut porter sur un élément factuel ou juridique (ATF 129 IV 238 consid. 3.1 p. 240 ; arrêt du Tribunal fédéral 6B_63/2017 du 17 novembre 2017 consid. 3.2). L'erreur ne peut conduire à un acquittement que si elle est excusable (M. DUPUIS / B. GELLER / G. MONNIER / L. MOREILLON / C. PIGUET / C. BETTEX / D. STOLL [éds], Code pénal - Petit commentaire, Bâle 2012, nos 18-19 ad art. 13). Si elle est évitable et que l'auteur n'use pas des précautions voulues pour l'éviter, il est punissable par négligence. Tout comme les infractions punissables par négligence, il convient de prendre en compte les circonstances et la situation personnelle de l'auteur (ATF 119 IV 255 consid. 2c p. 259). 2.7.2. Aux termes de l'art. 21 CP, quiconque ne sait ni ne peut savoir au moment d'agir que son comportement est illicite n'agit pas de manière coupable. Le juge atténue la peine si l'erreur était évitable. L'auteur doit agir alors qu'il se croyait en droit de le faire. Il pense, à tort, que l'acte concret qu'il commet est conforme au droit (ATF 141 IV 336 consid. 2.4.3 p. 343 et les références ; ATF 138 IV 13 consid. 8.2 p. 27). Si la licéité du comportement considéré est sujette à caution, l'auteur est tenu de s'informer auprès des autorités compétentes (ATF 129 IV 6 consid. 4.1 et les références ; arrêt du Tribunal fédéral 6B_494/2016 du 17 mai 2017 consid. 1.1). Déterminer ce que l'auteur d'une infraction a su, cru ou voulu et, en particulier, l'existence d'une erreur relève de l'établissement des faits (ATF 141 IV 336 consid. 2.4.3 p. 343 ; arrêt du Tribunal fédéral 6B_1369/2016 du 20 juillet 2017 consid. 5.1). La réglementation relative à l'erreur sur l'illicéité repose sur l'idée que le justiciable doit faire tout son possible pour connaître la loi et que son ignorance ne le protège que dans des cas exceptionnels (arrêt du Tribunal fédéral 6B_526/2014 du 2 février 2015). 2.8.1. En l'espèce, il est établi et non contesté que l'appelant a commis un excès de vitesse de 33 km/h, sur un tronçon situé à l'intérieur d'une localité, où la vitesse est limitée à 50 km/h. Ce dépassement est supérieur au seuil de 25 km/h fixé par la jurisprudence pour les routes à l'intérieur des localités, de sorte, qu'il doit être qualifié d'objectivement grave. 2.8.2. L'appelant, qui habite en France voisine, circule tous les jours en Suisse, depuis 2007, au guidon de son motocycle ou au volant de sa voiture. Il s'agit donc d'un utilisateur fréquent du réseau routier suisse. De ce fait, il peut en être déduit une connaissance certaine des prescriptions helvétiques en matière de circulation routière. Le choix des itinéraires est sans incidence à cet égard, étant relevé que l'appelant a précisé ne pas emprunter " souvent " ce trajet, ce qui suppose qu'il le connaissait. Quant aux questionnaires versés à la procédure (pièce 9), tout au plus pourraient-ils révéler l'ignorance de la signalétique routière des personnes qui les ont remplis, mais, ils ne sauraient en aucun cas dispenser l'appelant de son obligation de connaître la loi. Eusse-t-il ignoré la législation suisse, il lui incombait de se renseigner dès lors qu'il ne pouvait sans autre partir de l'idée qu'elle était identique à celle de la France, d'autant plus qu'il était appelé à rouler souvent en Suisse et n'était pas de passage. D'autre part, il convient de relever que contrairement aux allégations de l'appelant, les photographies auxquelles il se réfère ne montrent nullement des champs de chaque côté, de sorte qu'il n'était pas légitimé à considérer être " hors localité ". Mais au contraire, sur le début de la droite dans son sens de marche, se trouve un bâtiment suivi d'un muret sur à tout le moins plus d'une dizaine de mètres et à peu de distance un panneau " distributeur - jus de pomme " à hauteur duquel l'infraction a été constatée. De surcroît, en prétendant qu'en circulant sur un tronçon circondé de champs il ne pouvait comprendre qu'il se trouvait encore en localité, l'appelant fait fi des signaux routiers, ce qui n'est pas acceptable. Le fait de se retrouver en dehors d'une zone urbaine sans que la signalétique n'ait annoncé la fin de la localité constitue tout au plus un indice que cette dernière peut intervenir sous peu, mais comme le relève le Tribunal de police, que ce soit en France ou en Suisse, la sortie d'une localité est liée à la pose d'un panneau spécifique. Dès lors, la Cour ne peut suivre l'argument de l'appelant lorsqu'il déclare qu'il ignorait que la limitation de vitesse en localité en Suisse restait en vigueur tant qu'il n'y avait pas un panneau qui venait l'annuler. L'appelant allègue que la frondaison des arbres ne permettait d'apercevoir la signalisation de fin de limitation de vitesse que tardivement sur la base des photos 14 et 17. C'est à juste titre que le tribunal de première instance a retenu que ces photos n'étaient pas représentatives des faits qui se sont produits. En effet, non seulement le témoin a expliqué que lorsque l'opérateur pose le radar, des contrôles sont faits pour veiller à ce que la signalisation soit claire et précise, mais encore, et comme il a été fait mention dans le jugement du 5 juin 2018, ces photos ont été prises plus de deux mois après les faits et depuis un angle qui diffère de celui du motocycliste qui circule sur la voie de droite. Finalement, il sied de rappeler que les panneaux de "Fin de limitation 50" et de "Fin de localité", conformes aux prescriptions légales, se trouvaient 100 mètres en aval du radar. Il n'existe donc pas de lien de cause à effet entre l'excès de vitesse et la visibilité des panneaux. En conclusion, l'appelant ne peut valablement se prévaloir de l'erreur sur les faits et sur l'illicéité, dans la mesure où il n'est aucunement vraisemblable qu'il eut ignoré les conditions de lieu et le fait de se trouver encore en localité, tout comme une erreur de droit peut être exclue du fait de l'ancienneté de sa conduite sur sol suisse. Partant, le verdict de culpabilité rendu à l'encontre de l'appelant, du chef de violation grave des règles de la circulation routière au sens de l'art. 90 al. 2 LCR, ne peut être que confirmé. 3. 3.1. Cette infraction est sanctionnée d'une peine privative de liberté de trois ans au plus ou d'une peine pécuniaire. 3.2. Les nouvelles dispositions sur le droit des sanctions sont entrées en vigueur le 1 er janvier 2018. Cette réforme marque globalement un durcissement. A l'aune de l'art. 2 CP, la personne condamnée pourra ainsi revendiquer l'application du droit en vigueur au 31 décembre 2017 si les actes qu'il a commis l'ont été sous l'empire de ce droit, comme c'est le cas en espèce. L'ancien droit est donc applicable.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 3.3.2 . Selon l'art. 34 al. 1 aCP, la peine pécuniaire ne peut excéder 360 jours-amende ; le juge fixe le nombre en fonction de la culpabilité de l'auteur. Le jour-amende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 3.3.3 . Le juge peut prononcer, en plus du sursis (art. 42 al. 1 aCP), une peine pécuniaire sans sursis ou une amende selon l'art. 106 CP (art. 42 al. 4 aCP). A l'instar de toute autre peine, l'amende doit être fixée conformément à l'art. 47 CP (arrêts du Tribunal fédéral 6B_337/2015 du 5 juin 2015 consid. 4.1 ; 6B_988/2010 du 3 mars 2011 consid. 2.1 et 6B_264/2007 du 19 septembre 2007 consid. 4.5). Le juge fixe le montant de l'amende et la quotité de la peine privative de liberté de substitution en tenant compte de la situation de l'auteur, afin que la peine corresponde à la faute commise (art. 106 al. 3 CPP). En cas de peines combinées au sens de l'art. 42 al. 4 CP, l'amende ne peut pas conduire à une aggravation de la peine ou au prononcé d'une sanction supplémentaire. Si une peine combinée est justifiée, les deux sanctions considérées ensemble doivent correspondre à la gravité de la faute (ATF 134 IV 53 consid. 5.2 p. 55 s. ; arrêt du Tribunal fédéral 6B_61/2010 du 27 juillet 2010 consid. 5.2). Pour tenir compte du caractère accessoire des peines cumulées, il se justifie en principe d'en fixer la limite supérieure à un cinquième, respectivement à 20%, de la peine principale (ATF 135 IV 188 consid. 3.4.4 p. 191). Un jour de peine privative de liberté de substitution (art. 106 al. 2 CP) correspond schématiquement à CHF 100.- d'amende (R. ROTH / L. MOREILLON, Code pénal I : art. 1-100 CP , Bâle 2009, n. 19 ad art. 106). 3.4 . En l'occurrence, la faute de l'appelant est grave et son mobile égoïste. Il a par désinvolture fait fi des règles de la circulation routière relatives à la vitesse. Dans la mesure où l'excès de vitesse ne pouvait en tant que tel être contesté, sa collaboration à la procédure est sans particularité. Contrairement à ce que plaide l'appelant dans son mémoire d'appel, sa prise de conscience est mauvaise. La réglementation est claire et la signalétique était conforme. Il s'agit d'un utilisateur fréquent du réseau routier Suisse puisqu'il se rend tous les jours dans une commune genevoise depuis plus de 10 ans. Ce nonobstant, il persiste à contester l'infraction qui lui est reprochée. Il n'a aucun antécédent judiciaire en Suisse, élément toutefois neutre s'agissant de la fixation de la peine. Compte tenu des circonstances, le prononcé d'une peine pécuniaire d'une quotité de 60 jours-amende consacre une application correcte des critères des art. 34a CP et 47 CP. Le montant unitaire de la peine de CHF 60.- est adapté à la situation financière de l'appelant, de sorte qu'il n'y a pas lieu de le revoir. Le bénéfice du sursis lui est acquis (art. 391 al. 2 CPP). A titre de prévention spéciale, le prononcé d'une amende en sus s'impose pour faire comprendre à l'appelant la gravité de ses actes. Le montant de celle-ci sera toutefois ramené à CHF 720.-, dans le respect de la jurisprudence sus-rappelée, puisque dite amende est une sanction additionnelle à la peine prononcée. Le jugement querellé sera ainsi réformé. 4. 4.1 . 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4.2.1. Compte tenu de la confirmation du verdict de culpabilité prononcé par le Tribunal de police, la sanction accessoire n'ayant été que réduite, il n'y a pas lieu de revoir les frais fixés par le tribunal de première instance. En effet, la réduction de la peine en appel en raison d'un motif non plaidé, à savoir le caractère accessoire de l'amende, ne saurait justifier leur modification (art. 428 al. 3 CPP). 4.2.2. En appel, le prévenu succombe pour l'essentiel. Il se justifie partant de lui faire supporter 4/5 èmes des frais de la procédure, qui comprennent un émolument de CHF 2'000.-, le solde étant laissé à la charge de l'Etat (art. 14 al. 1 let. e du règlement fixant le tarif des frais en matière pénale [RTFMP ; E 4 10.03] et 428 al. 2 let. b CPP).</w:t>
      </w:r>
    </w:p>
    <w:p>
      <w:r>
        <w:rPr>
          <w:b/>
        </w:rPr>
        <w:t>E. 5</w:t>
      </w:r>
    </w:p>
    <w:p>
      <w:r>
        <w:t>5.1. En vertu de l'art. 436 al. 2 CPP, lorsque ni un acquittement total ou partiel ni un classement ne sont prononcés, le prévenu peut prétendre à une juste indemnité dans la procédure de recours ( Rechtsmittelverfahren ) s'il obtient gain de cause "sur d'autres points", à savoir les points accessoires d'un jugement, soit par exemple lorsque le prévenu obtient une peine inférieure à celle infligée par le jugement de première instance ( ACPR/41/2012 du 30 janvier 2012 ; M. NIGGLI / M. HEER / H. WIPRÄCHTIGER, Strafprozessordnung Jugendstrafprozessordnung, Basler Kommentar StPO / JStPO , 2 e éd., Bâle 2014, n. 10 ad art. 436).</w:t>
      </w:r>
    </w:p>
    <w:p>
      <w:r>
        <w:rPr>
          <w:b/>
        </w:rPr>
        <w:t>E. 5.2</w:t>
      </w:r>
    </w:p>
    <w:p>
      <w:r>
        <w:t>Bien que l'amende accessoire infligée à l'appelant ait été réduite en appel, le motif qui y a conduit, a été soulevé d'office par la CPAR et n'a donc exigé aucun travail facturable de l'avocat de l'appelant, si bien qu'aucune indemnité ne sera allouée à ce dernier.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