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P/21960/2020 vom 16. Februar 2021</w:t>
      </w:r>
    </w:p>
    <w:p>
      <w:r>
        <w:t>GE Cour de justice, 2021-02-16, FR</w:t>
      </w:r>
    </w:p>
    <w:p>
      <w:r>
        <w:rPr>
          <w:b/>
        </w:rPr>
        <w:t xml:space="preserve">Quelle: </w:t>
      </w:r>
      <w:r>
        <w:t>https://mcp.opencaselaw.ch/entscheid/ge_gerichte_P_21960_2020</w:t>
      </w:r>
    </w:p>
    <w:p>
      <w:r>
        <w:t>FR: GE_GERICHTE P/21960/2020 du 16 février 2021</w:t>
      </w:r>
    </w:p>
    <w:p>
      <w:r>
        <w:t>IT: GE_GERICHTE P/21960/2020 del 16 febbraio 2021</w:t>
      </w:r>
    </w:p>
    <w:p>
      <w:pPr>
        <w:pStyle w:val="Heading2"/>
      </w:pPr>
      <w:r>
        <w:t>Regeste</w:t>
      </w:r>
    </w:p>
    <w:p>
      <w:r>
        <w:t>DIFFAMATION;E-MAIL;TIERS;SOUPÇON | CPP.310; CP.173</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également recevables (arrêt du Tribunal fédéral 1B_368/2014 du 5 février 2015 consid. 3.2 in fine ).</w:t>
      </w:r>
    </w:p>
    <w:p>
      <w:r>
        <w:rPr>
          <w:b/>
        </w:rPr>
        <w:t>E. 2</w:t>
      </w:r>
    </w:p>
    <w:p>
      <w:r>
        <w:t>Le recourant invoque, dans sa réplique, une violation de son droit d'être entendu, dès lors qu'il n'a pas été auditionné par le Ministère public, avant le prononcé de l'ordonnance querellée.</w:t>
      </w:r>
    </w:p>
    <w:p>
      <w:r>
        <w:rPr>
          <w:b/>
        </w:rPr>
        <w:t>E. 2.1</w:t>
      </w:r>
    </w:p>
    <w:p>
      <w:r>
        <w:t>Le droit d'être entendu, tel qu'il est garanti par l'art. 29 al. 2 Cst., comprend notamment le droit pour l'intéressé de s'exprimer sur les éléments pertinents avant qu'une décision ne soit prise touchant sa situation juridique. À lui seul, l'art. 29 al. 2 Cst. ne confère pas aux parties le droit d'être entendu oralement par l'autorité (ATF 134 I 140 consid. 5.3 ; ATF 130 II 425 consid. 2.1 ; arrêt du Tribunal fédéral 1B_44/2012 du 13 février 2012). Il suffit que l'intéressé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w:t>
      </w:r>
    </w:p>
    <w:p>
      <w:r>
        <w:rPr>
          <w:b/>
        </w:rPr>
        <w:t>E. 2.2</w:t>
      </w:r>
    </w:p>
    <w:p>
      <w:r>
        <w:t>S'agissant d'une procédure de non-entrée en matière, avant de rendre une ordonnance, le Ministère public n'a pas à en informer les parties et n'a pas à leur donner la possibilité d'exercer leur droit d'être entendu, lequel sera assuré, le cas échéant, dans le cadre de la procédure de recours (arrêts du Tribunal fédéral 6B_93/2014 du 21 août 2014 et 6B_43/2013 du 11 avril 2013 consid. 2.1 et les références citées).</w:t>
      </w:r>
    </w:p>
    <w:p>
      <w:r>
        <w:rPr>
          <w:b/>
        </w:rPr>
        <w:t>E. 2.3</w:t>
      </w:r>
    </w:p>
    <w:p>
      <w:r>
        <w:t>En l'espèce, la procédure n'ayant, en l'état, pas dépassé la phase des premières investigations, le Ministère public était dispensé d'interpeller ou entendre le recourant avant de prononcer sa décision querellée. Pour le surplus, le recourant a pu faire valoir devant la Chambre de céans les arguments qu'il estimait pertinents, de sorte que son droit d'être entendu a été pleinement respecté. Il s'ensuit que le grief doit être rejeté.</w:t>
      </w:r>
    </w:p>
    <w:p>
      <w:r>
        <w:rPr>
          <w:b/>
        </w:rPr>
        <w:t>E. 3</w:t>
      </w:r>
    </w:p>
    <w:p>
      <w:r>
        <w:t>Le recourant reproche au Ministère public de ne pas avoir retenu des soupçons suffisants d'une diffamation.</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L’auteur ne peut éviter de tomber sous le coup de l'art. 173 CP uniquement en émettant des réserves en relation avec l’allégation de faits en question ou en citant sa source (A. MACALUSO / L. MOREILLON / N. QUELOZ (éds), Commentaire romand, Code pénal II, Partie spéciale, Bâle 2017, n. 8 ad art. 173 et les références cité). Le fait d'accuser une personne d'avoir commis un crime ou un délit intentionnel entre dans les prévisions de l'art. 173 ch. 1 CP (ATF 132 IV 112 consid. 2.2 p. 115; 118 IV 248 consid. 2b p. 250 s.; arrêt du Tribunal fédéral 6B_138/2008 du 22 janvier 2009 consid. 3.1.). Du point de vue subjectif, il suffit que l'auteur ait eu conscience du caractère attentatoire à l'honneur de ses propos et qu'il les ait néanmoins proférés ; il n'est pas nécessaire qu'il ait eu la volonté de blesser la personne visée (ATF 119 IV 44 consid. 2a et la jurisprudence citée).</w:t>
      </w:r>
    </w:p>
    <w:p>
      <w:r>
        <w:rPr>
          <w:b/>
        </w:rPr>
        <w:t>E. 3.3</w:t>
      </w:r>
    </w:p>
    <w:p>
      <w:r>
        <w:t>Est un tiers au sens de l'art. 173 CP toute personne autre que l'auteur et la personne lésée (A. MACALUSO / L. MOREILLON / N. QUELOZ (éds), Commentaire romand, Code pénal II, Partie spéciale, Bâle 2017, n. 16 ad art. 173 et les références citées).</w:t>
      </w:r>
    </w:p>
    <w:p>
      <w:r>
        <w:rPr>
          <w:b/>
        </w:rPr>
        <w:t>E. 3.4</w:t>
      </w:r>
    </w:p>
    <w:p>
      <w:r>
        <w:t>En vertu de l'art. 173 ch. 2 CP, l'auteur n'encourt aucune peine s'il prouve que les allégations qu'il a articulées ou propagées sont conformes à la vérité ou qu'il avait des raisons sérieuses de les tenir de bonne foi pour vraies.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w:t>
      </w:r>
    </w:p>
    <w:p>
      <w:r>
        <w:rPr>
          <w:b/>
        </w:rPr>
        <w:t>E. 3.5</w:t>
      </w:r>
    </w:p>
    <w:p>
      <w:r>
        <w:t>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rPr>
          <w:b/>
        </w:rPr>
        <w:t>E. 3.6</w:t>
      </w:r>
    </w:p>
    <w:p>
      <w:r>
        <w:t>En l'espèce, le mis en cause a adressé un long courriel circonstancié au recourant ainsi qu'aux actionnaires de C______ AG et à son avocate, qui l'ont reçu en copie, aux termes duquel les destinataires pouvaient comprendre – même en ne s'arrêtant pas qu'aux titres des rubriques – que le premier accusait le second d'avoir, entre autres, employé les biens de la société concernée à des fins exclusivement personnelles, impliqué ses organes dans des actes vraisemblablement illicites, cherché à dévaluer la valeur de la société au profit de structures parallèles ou encore falsifié le procès-verbal d'une assemblée générale. Il a explicitement qualifié le comportement imputé au recourant d'abus de confiance, d'abus de bien sociaux, de faux et usage de faux, de fraude fiscale, de destruction de documents et de gestion déloyale. Ces propos dépassent la simple critique professionnelle, dans la mesure où le mis en cause accuse le recourant de comportements constitutifs d'infractions pénales et le fait apparaître comme une personne malhonnête. Les formules employées, telles que " tirer profit des ressources [de la société] à des fins personnelles", "camoufler les actes illicites", "conflits fallacieux", "comportement déloyal", "gangrène qui la dévore de l'intérieur", "masquer des actes délictueux", " magouilles ", " trucage ", " couvrir d'éventuelles irrégularités ", etc., sont clairement dépréciatives, puisqu'elles suggèrent l'adoption d'un comportement méprisable, voire illégal, par le recourant, lequel est visé personnellement – qui plus est en lettres capitales – par le mis en cause. Ces propos étaient donc, objectivement, de nature à jeter sur le recourant le soupçon d'une conduite contraire à l'honneur et à porter atteinte à sa considération au sens de l'art. 173 CP. Le mis en cause, au vu de son activité professionnelle et de la manière avec laquelle il a pris soin de détailler les faits reprochés, ne paraît pas avoir ignoré le caractère attentatoire à l'honneur de telles accusations. Les réserves émises par le mis en cause ne sont par ailleurs pas, en l'état, propres à exclure d'emblée l'existence d'une diffamation. Le fait que le message ait été adressé aux actionnaires – et non semble-t-il aux collaborateurs de la société – n'y change rien, puisqu'on entend par tiers toute personne qui n'est ni l'auteur ni l'objet des propos qui portent atteinte à l'honneur. En tout état, même si le courriel et les annexes avaient été envoyés aux actionnaires pour les alerter de dysfonctionnements observés, les termes employés par le mis en cause paraissent dépasser ce qui était nécessaire pour faire part de ses doutes. Partant, il n'existe, en l'état, pas d’éléments suffisants permettant de retenir d’emblée qu'il pourrait apporter l’une ou l’autre des preuves libératoires de la vérité ou de la bonne foi, étant relevé qu'il ne ressort pas du dossier que le mis en cause aurait entamé des procédures judiciaires à l'encontre du recourant. Il s'ensuit qu'il existe, en l'état, une présomption suffisante de la commission par le mis en cause d'une diffamation, au préjudice du recourant, de sorte que la non-entrée en matière n'est pas justifiée.</w:t>
      </w:r>
    </w:p>
    <w:p>
      <w:r>
        <w:rPr>
          <w:b/>
        </w:rPr>
        <w:t>E. 4</w:t>
      </w:r>
    </w:p>
    <w:p>
      <w:r>
        <w:t>Fondé, le recours doit être admis ; partant, l'ordonnance querellée sera annulée et la cause renvoyée au Ministère public pour l'ouverture d'une instruction.</w:t>
      </w:r>
    </w:p>
    <w:p>
      <w:r>
        <w:rPr>
          <w:b/>
        </w:rPr>
        <w:t>E. 5</w:t>
      </w:r>
    </w:p>
    <w:p>
      <w:r>
        <w:t>Le recourant obtient gain de cause (art. 428 al. 1 CPP). Partant, les frais afférents au recours seront laissés à la charge de l'État (art. 428 al. 4 CPP) et les sûretés versées, restituées au plaignant.</w:t>
      </w:r>
    </w:p>
    <w:p>
      <w:r>
        <w:rPr>
          <w:b/>
        </w:rPr>
        <w:t>E. 6</w:t>
      </w:r>
    </w:p>
    <w:p>
      <w:r>
        <w:t>Représenté par un avocat, le plaignant n'a pas chiffré ni justifié de prétentions en indemnité au sens de l'art. 433 al. 2 CPP, applicable en instance de recours (art. 436 al. 1 CPP), de sorte qu'il ne lui en sera point alloué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