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P/21954/2019 vom 21. September 2020</w:t>
      </w:r>
    </w:p>
    <w:p>
      <w:r>
        <w:t>GE Cour de justice, 2020-09-21, FR</w:t>
      </w:r>
    </w:p>
    <w:p>
      <w:r>
        <w:rPr>
          <w:b/>
        </w:rPr>
        <w:t xml:space="preserve">Quelle: </w:t>
      </w:r>
      <w:r>
        <w:t>https://mcp.opencaselaw.ch/entscheid/ge_gerichte_P_21954_2019</w:t>
      </w:r>
    </w:p>
    <w:p>
      <w:r>
        <w:t>FR: GE_GERICHTE P/21954/2019 du 21 septembre 2020</w:t>
      </w:r>
    </w:p>
    <w:p>
      <w:r>
        <w:t>IT: GE_GERICHTE P/21954/2019 del 21 settembre 2020</w:t>
      </w:r>
    </w:p>
    <w:p>
      <w:pPr>
        <w:pStyle w:val="Heading2"/>
      </w:pPr>
      <w:r>
        <w:t>Regeste</w:t>
      </w:r>
    </w:p>
    <w:p>
      <w:r>
        <w:t>CALOMNIE;APPRENTISSAGE(FORMATION PROFESSIONNELLE) | CP.174; CPP.310</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du plaignant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reproche au Ministère public de ne pas être entré en matière sur sa plainte pénale.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2.2</w:t>
      </w:r>
    </w:p>
    <w:p>
      <w:r>
        <w:t>À teneur de l'art. 310 al. 1 let. c CPP, une ordonnance de non-entrée en matière est en outre rendue lorsque les conditions mentionnées à l'art. 8 imposent de renoncer à l'ouverture d'une poursuite pénale. Tel est notamment le cas si la culpabilité de l'auteur et les conséquences de son acte sont peu importantes (art. 52 CP). Lorsque ces deux conditions - cumulatives - sont réunies, l'autorité compétente renonce à lui infliger une peine et l'exemption par le juge est de nature impérative (ATF 135 IV 130 consid. 5.3.2).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 que l'écoulement du temps depuis la commission de l'infraction; ATF 135 IV 130 consid. 5.4).</w:t>
      </w:r>
    </w:p>
    <w:p>
      <w:r>
        <w:rPr>
          <w:b/>
        </w:rPr>
        <w:t>E. 2.3</w:t>
      </w:r>
    </w:p>
    <w:p>
      <w:r>
        <w:t>À teneur de l'art. 174 ch. 1 CP est poursuivi, sur plainte,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 arrêt du Tribunal fédéral 6B_498/2012 du 14 février 2013 consid. 5.1).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6B_1100/2014 du 14 octobre 2015 consid. 4.1 et 6S_6/2002 du 6 février 2002 consid. 2a).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w:t>
      </w:r>
    </w:p>
    <w:p>
      <w:r>
        <w:rPr>
          <w:b/>
        </w:rPr>
        <w:t>E. 2.4</w:t>
      </w:r>
    </w:p>
    <w:p>
      <w:r>
        <w:t>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p. 132 ; arrêts du Tribunal fédéral 6B_441/2016 du 29 mars 2017 consid. 3.1 et les références ; 6B_945/2008 du 23 janvier 2009 consid. 2.1).</w:t>
      </w:r>
    </w:p>
    <w:p>
      <w:r>
        <w:rPr>
          <w:b/>
        </w:rPr>
        <w:t>E. 2.5</w:t>
      </w:r>
    </w:p>
    <w:p>
      <w:r>
        <w:t>En l'espèce, la plainte déposée par le recourant, dans les trois mois à compter du moment où il a reçu de l'OFPC copie du courriel du mis en cause, n'est pas tardive. Certes, le recourant avait licencié son apprenti en juin 2019 déjà, après avoir appris par l'OFPC que le précité l'accusait notamment de coups et insultes. Il ne pouvait toutefois, sur cette seule information verbale, sans avoir eu connaissance de la teneur exacte des propos de son apprenti, déterminer si les éléments constitutifs d'une atteinte à son honneur étaient réalisés.</w:t>
      </w:r>
    </w:p>
    <w:p>
      <w:r>
        <w:rPr>
          <w:b/>
        </w:rPr>
        <w:t>E. 2.6</w:t>
      </w:r>
    </w:p>
    <w:p>
      <w:r>
        <w:t>S'agissant du fond, il n'appartient pas aux autorités pénales d'évaluer la méthode de travail du recourant, mais uniquement d'examiner si les propos contenus dans le courriel litigieux de son apprenti sont calomnieux, au sens de la disposition pénale sus-visée. En l'occurrence, dans ce courriel, le mis en cause informait son commissaire d'apprentissage que le recourant le frappait, l'insultait, lui donnait des tâches non prévues par son contrat d'apprentissage, le faisait parfois travailler 11 heures par jour, lui faisait des reproches non constructifs, s'était permis de lui montrer une peinture de lui nu et, la veille, lui avait dit " ta gueule ". Les mentions de tâches non prévues par le contrat, d'heures de travail journalier en trop et de reproches non constructifs, non visés par la plainte, ne sont pas litigieux. Le recourant admet l'incident de mai 2019 et avoir montré à ses collaborateurs, y compris le mis en cause, des peintures de lui le représentant nu. S'il apporte sa propre version du déroulement de ces événements, il n'en demeure pas moins que les faits figurant dans le courriel litigieux à cet égard ne sont pas faux. Il n'y a donc pas de prévention pénale suffisante, au sens de l'art. 310 al. 1 let. a CPP. Le litige porte donc uniquement sur les allégations de coups et d'insultes. S'agissant des premières, le mis en cause n'a pas donné de détails dans son courriel. Entendu par la police, il a expliqué que le recourant lui donnait des coups de poing sur l'épaule, ce qui est attesté par d'autres collaborateurs. Certes, ces derniers qualifient ces gestes d'amicaux et non violents, alors que dans son courriel le mis en cause expliquait être " frappé ". Il n'en demeure pas moins qu'après l'audition du mis en cause et des témoins, il n'y a pas non plus à cet égard de prévention pénale suffisante de calomnie, le mis en cause n'ayant pas, sur ce point, intentionnellement allégué un fait qu'il savait faux, même si l'allusion paraît exagérée. Reste la mention des insultes et d'un coup donné au thorax, qu'aucun des témoins n'a corroborée durant l'enquête préliminaire. Avec le Ministère public, la Chambre de céans estime toutefois disproportionnée l'ouverture d'une instruction sur ce seul point, a fortiori un éventuel renvoi en jugement du mis en cause. B______ était en effet, au moment de l'envoi de son courriel, âgé de 19 ans. Il est établi que les rapports entre le recourant et cet apprenti s'étaient dégradés dans les mois précédant l'envoi du courriel et que le jeune homme était irascible à l'approche des examens de fin d'apprentissage, prévus quelques semaines plus tard. Le message a été envoyé le lendemain de l'incident au cours duquel le recourant a, d'une voix forte et agressive selon les témoins, proféré " ta gueule " contre le mis en cause, alors que celui-ci était intervenu pour protéger un chat en phase d'endormissement. Le recourant admet que sa réaction a offusqué B______, qui a fait part, le lendemain, de diverses doléances à son commissaire d'apprentissage, dont seules celles relatives aux insultes et à un coup au thorax ne reposent pas, en l'état du dossier, sur des faits avérés. Pour déplaisante que cette allégation potentiellement fausse ait été pour le recourant, on ne saurait retenir qu'elle lui a causé une atteinte à son honneur telle qu'elle justifierait l'ouverture d'une instruction contre son apprenti ou le renvoi de celui-ci en jugement. L'OFPC ne lui a pas retiré sa capacité formatrice et rien ne permet d'affirmer que le contrôle d'un commissaire annoncé pour 2020, qui n'a rien de déshonorant, serait lié aux allégations précitées plutôt qu'aux autres doléances, dont certaines sont corroborées par d'autres employés du cabinet. Le Ministère public n'a donc, dans ce contexte, pas fait une application erronée de l'art. 52 CP en retenant que la culpabilité du mis en cause, si elle était avérée, et les conséquences de son acte, devaient être qualifiées de peu d'importance.</w:t>
      </w:r>
    </w:p>
    <w:p>
      <w:r>
        <w:rPr>
          <w:b/>
        </w:rPr>
        <w:t>E. 3</w:t>
      </w:r>
    </w:p>
    <w:p>
      <w:r>
        <w:t>Le recours sera dès lors rejeté et l'ordonnance querellée, confirmée.</w:t>
      </w:r>
    </w:p>
    <w:p>
      <w:r>
        <w:rPr>
          <w:b/>
        </w:rPr>
        <w:t>E. 4</w:t>
      </w:r>
    </w:p>
    <w:p>
      <w:r>
        <w:t>Lerecourant,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