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P/21923/2015 vom 18. November 2018</w:t>
      </w:r>
    </w:p>
    <w:p>
      <w:r>
        <w:t>GE Cour de justice, 2018-11-18, FR</w:t>
      </w:r>
    </w:p>
    <w:p>
      <w:r>
        <w:rPr>
          <w:b/>
        </w:rPr>
        <w:t xml:space="preserve">Quelle: </w:t>
      </w:r>
      <w:r>
        <w:t>https://mcp.opencaselaw.ch/entscheid/ge_gerichte_P_21923_2015</w:t>
      </w:r>
    </w:p>
    <w:p>
      <w:r>
        <w:t>FR: GE_GERICHTE P/21923/2015 du 18 novembre 2018</w:t>
      </w:r>
    </w:p>
    <w:p>
      <w:r>
        <w:t>IT: GE_GERICHTE P/21923/2015 del 18 novembre 2018</w:t>
      </w:r>
    </w:p>
    <w:p>
      <w:pPr>
        <w:pStyle w:val="Heading2"/>
      </w:pPr>
      <w:r>
        <w:t>Regeste</w:t>
      </w:r>
    </w:p>
    <w:p>
      <w:r>
        <w:t>IN DUBIO PRO REO ; LÉSION CORPORELLE GRAVE ; FABRICATION DE STUPÉFIANTS ; DOL ÉVENTUEL ; TENTATIVE(DROIT PÉNAL) ; RESPONSABILITÉ RESTREINTE(DROIT PÉNAL) ; CONCOURS D'INFRACTIONS ; TORT MORAL ; INDEMNITÉ(EN GÉNÉRAL); CLASSEMENT DE LA PROCÉDURE ; FRAIS DE LA PROCÉDURE ; DÉFENSE D'OFFICE | CP.122; CP.22.al1; LStup.19a; CP.12.al2; CP.19.al2; CP.33.al1; CP.126; CPP.10.al2; CPP.126.al1.leta; CPP.135.al1; CPP.426.al2; CPP.428; CPP.429.al1; CPP.433.al1.leta; CO.41; CO.42.al1; CO.46.al1; CO.49.al1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2.1.3. Faute d'aveux, le juge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 ss ; 125 IV 242 consid. 3c p. 252, plus récemment arrêt du Tribunal fédéral 6B_28/2016 du 10 octobre 2016 consid. 4.3). 2.2.1. Se rend coupable de lésions corporelles graves celui qui aura blessé une personne de façon à mettre sa vie en danger, mutilé son corps, un de ses membres ou un de ses organes importants, lui aura causé une incapacité de travail, une infirmité ou une maladie mentale permanentes, l’aura défigurée d’une façon grave et permanente, ou lui aura fait subir toute autre atteinte grave à l’intégrité corporelle ou à la santé physique ou mentale (art. 122 CP). Une atteinte à l’intégrité corporelle ou à la santé ne répondant pas à ces critères est constitutive de lésions corporelles simples (art. 123 CP). 2.2.2. Agit intentionnellement quiconque commet un crime ou un délit avec conscience et volonté. L’auteur agit déjà intentionnellement lorsqu’il tient pour possible la réalisation de l’infraction et l’accepte au cas où celle-ci se produirait (art. 12 al. 2 CP). Les infractions de lésions corporelles peuvent être commises par dol éventuel, élément subjectif qui est réalisé lorsque l'auteur envisage le résultat dommageable, mais agit néanmoins, même s'il ne le souhaite pas, parce qu'il s'en accommode pour le cas où il se produirait (ATF 135 IV 152 consid. 2.3.2 et 130 IV 58 consid. 8.2). 2.2.3. Le juge peut atténuer la peine si l’exécution d’un crime ou d’un délit n’est pas poursuivie jusqu’à son terme ou que le résultat nécessaire à la consommation de l’infraction ne se produit pas ou ne pouvait pas se produire (art. 22 al. 1 CP). Dans sa jurisprudence, le Tribunal fédéral a admis, sous l'angle du dol éventuel, que même si le résultat n’aboutit qu'à des lésions corporelles simples, la mise en danger créée par les coups portés dépasse de manière évidente en intensité le résultat intervenu, dans le cas de multiples coups à la tête d'une personne qui ne se défend pas et gît à terre avec les poings, les pieds ou d'autres objets dangereux tels qu’une bouteille en verre (ATF 135 IV 152 consid. 2.3.2.2), ou dans le cas d’un coup de batte de baseball porté à la tête provoquant la chute de la victime (arrêt du Tribunal fédéral 6B_612/2013 du 8 novembre 2013 consid. 1). La tentative suppose toujours un comportement intentionnel, le dol éventuel étant toutefois suffisant. Il faut ainsi qu’il existe un risque qu’un dommage puisse résulter de l’infraction et que l’auteur sache que ce danger existe ( Wissensmoment ) et qu’il s’accommode de ce résultat ( Willensmoment ), même s’il préfère l’éviter (cf. arrêts du Tribunal fédéral 6B_246/2012 du 10 juillet 2012 consid. 1.1.1 et 6B_275/2011 du</w:t>
      </w:r>
    </w:p>
    <w:p>
      <w:r>
        <w:rPr>
          <w:b/>
        </w:rPr>
        <w:t>E. 2.4</w:t>
      </w:r>
    </w:p>
    <w:p>
      <w:r>
        <w:t>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telles la déclaration d'appel (ordonnance de la Cour des plaintes du Tribunal pénal fédéral BB.2014.51 du 21 novembre 2014 consid. 2.1 ; décisions de la Cour des plaintes du Tribunal pénal fédéral BB.2013.165 du 24 janvier 2014 consid. 4.1.3 et BB.2013.127 du 4 décembre 2013 consid. 4.2).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[énoncé du principe]) ; AARP/142/2016 du 14 avril 2016 consid. 5.4.1, AARP/281/2015 du 25 juin 2015 et AARP/272/2015 du 1er juin 2015 [lecture des jugement, déclaration d'appel, ordonnance et arrêt de la CPAR], contrairement au cas où un examen plus poussé s'imposait, notamment aux fins de déterminer l'opportunité d'un recours au plan cantonal ( AARP/184/2016 du 28 avril 2016 consid. 5.3.1 et AARP/158/2016 du 22 avril 2016 consid. 6.3 [lecture du jugement admise].</w:t>
      </w:r>
    </w:p>
    <w:p>
      <w:r>
        <w:rPr>
          <w:b/>
        </w:rPr>
        <w:t>E. 7</w:t>
      </w:r>
    </w:p>
    <w:p>
      <w:r>
        <w:t>7.1.1. Aux termes de l'art. 429 al. 1 CPP, le prévenu a un droit à une indemnisation et à la réparation de son tort moral s'il est acquitté totalement ou en partie ou s'il bénéficie d'une ordonnance de classement.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(ATF 137 IV 352 consid. 2.4.2 p. 357 ; arrêts du Tribunal fédéral 6B_385/2017 du 5 décembre 2017 consid. 2.1 ; 6B_620/2016 du 17 mai 2017 consid. 2.2.2 et les références ; 6B_792/2016 du 18 avril 2017 consid. 3.3). Si le prévenu est libéré d'un chef d'accusation et condamné pour un autre, il sera condamné aux frais relatifs à sa condamnation et aura respectivement droit à une indemnité correspondant à son acquittement partiel (arrêts du Tribunal fédéral 6B_385/2017 du 5 décembre 2017 consid. 2.1 ; 6B_67/2016 du 31 octobre 2016 consid. 1.2 ; 6B_187/2015 du 28 avril 2015 consid. 6.1.2). Lorsque la condamnation aux frais n'est que partielle, la réduction de l'indemnité devrait s'opérer dans la même mesure (arrêt du Tribunal fédéral 6B_1191/2016 du 12 octobre 2017 consid. 2.1). Si l'État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p. 357 ; arrêt du Tribunal fédéral 6B_1191/2016 du 12 octobre 2017 consid. 2.1). 7.1.2. Vu la répartition des frais de la procédure, entièrement mis à charge de l'appelant, celui-ci ne saurait prétendre à une quelconque indemnité sur la base de l'art. 429 CPP.</w:t>
      </w:r>
    </w:p>
    <w:p>
      <w:r>
        <w:rPr>
          <w:b/>
        </w:rPr>
        <w:t>E. 8</w:t>
      </w:r>
    </w:p>
    <w:p>
      <w:r>
        <w:t>8.1. L'art. 433 al. 1 let. a CPP, applicable en instance de recours (art. 436 al. 1 CPP), prévoit que, si la partie plaignante a conclu à une indemnité dans une procédure de recours où elle a gain de cause, cette indemnité sera mise à la charge du prévenu, non de l'État ( ACPR/140/2013 du 12 avril 2013 ; ACPR/230/2013 du 8 mai 2013).</w:t>
      </w:r>
    </w:p>
    <w:p>
      <w:r>
        <w:rPr>
          <w:b/>
        </w:rPr>
        <w:t>E. 8.2</w:t>
      </w:r>
    </w:p>
    <w:p>
      <w:r>
        <w:t>En l'espèce, seul l'intimé C______ s'est manifesté en appel par un simple courrier au terme duquel il ne fait valoir aucune prétention, ce dont il lui est donné acte.</w:t>
      </w:r>
    </w:p>
    <w:p>
      <w:r>
        <w:rPr>
          <w:b/>
        </w:rPr>
        <w:t>E. 9</w:t>
      </w:r>
    </w:p>
    <w:p>
      <w:r>
        <w:t>9.1.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9.2.1.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depuis le 1 er octobre 2018, débours de l'étude inclus ( cf. décision de la Cour des plaintes du Tribunal pénal fédéral BB.2013.127 du 4 décembre 2013 consid. 3/4.2-4.4) : collaborateur CHF 150.- (let. b) ; chef d'étude CHF 200.- (let. c). En cas d'assujettissement, l'équivalent de la TVA est versé en sus. 9.2.2.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9.2.3.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En application de ces principes, seront retranchées de l'état de frais de M e B______, suppléé par M e T______ : ·      30 minutes de l'heure dédiée à la " Lecture/examen du jugement motivé du TP du 10 avril 2018 (19 p.) ", ledit jugement tenant en tout et pour tout, à bon escient, sur 19 pages, dont celle de garde et celles dédiées aux voies de recours et à l'état de frais et, dénué de toute complexité, ne nécessitant pas un long examen par un avocat breveté censé efficace et expéditif ;![endif]&gt;![if&gt; ·      2h correspondant au poste " Rédaction de la déclaration d'appel ", entrant également dans le forfait pour activités diverses ;![endif]&gt;![if&gt; ·      2h du poste " Préparation et rédaction d'un mémoire d'appel motivé ", les six premières pages n'étant d'aucune utilité – recevabilité de l'appel – s'agissant d'un point nullement contesté par les parties de sorte que seules cinq pages correspondent à une défense efficace et expéditive.![endif]&gt;![if&gt;</w:t>
      </w:r>
    </w:p>
    <w:p>
      <w:r>
        <w:rPr>
          <w:b/>
        </w:rPr>
        <w:t>E. 9.4</w:t>
      </w:r>
    </w:p>
    <w:p>
      <w:r>
        <w:t>Pour le surplus, l'état de frais présenté est adéquat de sorte qu'une indemnité de CHF 976.25 correspondant à 1h30 d'activité à CHF 200.-/heure (CHF 300.-) et 4h à celui de CHF 150.- (CHF 600.-), plus le forfait de 10% vu l'activité indemnisée en première instance (CHF 90.-) et la TVA à 7.7% (CHF 76.25), sera allouée à M e B______, suppléé par M e T______.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