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P/21900/2016 vom 3. März 2020</w:t>
      </w:r>
    </w:p>
    <w:p>
      <w:r>
        <w:t>GE Cour de justice, 2020-03-03, FR</w:t>
      </w:r>
    </w:p>
    <w:p>
      <w:r>
        <w:rPr>
          <w:b/>
        </w:rPr>
        <w:t xml:space="preserve">Quelle: </w:t>
      </w:r>
      <w:r>
        <w:t>https://mcp.opencaselaw.ch/entscheid/ge_gerichte_P_21900_2016</w:t>
      </w:r>
    </w:p>
    <w:p>
      <w:r>
        <w:t>FR: GE_GERICHTE P/21900/2016 du 3 mars 2020</w:t>
      </w:r>
    </w:p>
    <w:p>
      <w:r>
        <w:t>IT: GE_GERICHTE P/21900/2016 del 3 marzo 2020</w:t>
      </w:r>
    </w:p>
    <w:p>
      <w:pPr>
        <w:pStyle w:val="Heading2"/>
      </w:pPr>
      <w:r>
        <w:t>Regeste</w:t>
      </w:r>
    </w:p>
    <w:p>
      <w:r>
        <w:t>ESCROQUERIE;TENTATIVE(EN GÉNÉRAL);EXPULSION(DROIT PÉNAL) | CP.146.al1; CP.22; CP.66.ala</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6B_324/2017 du 8 mars 2018 consid. 1.1 ; 6B_1183/2016 du 24 août 2017 consid. 1.1 ; 6B_445/2016 du 5 juillet 2017 consid. 5.1). 2.2.1. A teneur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(arrêts du Tribunal fédéral 6B_817/2018 du 23 octobre 2018 consid. 2.3.1 ; 6B_446/2018 du 17 juillet 2018 consid. 2.1 et 6B_136/2017 du 17 novembre 2017 consid. 3.1). Pour qu'il y ait escroquerie, une simple tromperie ne suffit cependant pas ;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 2.2.2. Il y a tentative d'escroquerie si l'auteur, agissant intentionnellement et dans un dessein d'enrichissement, a commencé l'exécution de cette infraction sans poursuivre son exécution jusqu'à son terme ou que le résultat dommageable ne se produit pas (art. 22 CP ; ATF 140 IV 150 ).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 ATF 122 IV 246 consid. 3c ; arrêt du Tribunal fédéral 6B_117/2015 du 11 février 2016 consid. 2.3.1.2.).</w:t>
      </w:r>
    </w:p>
    <w:p>
      <w:r>
        <w:rPr>
          <w:b/>
        </w:rPr>
        <w:t>E. 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130 IV 58 consid. 9.2.1 p. 66 ; 125 IV 134 consid. 3a p. 136 et les références citées).</w:t>
      </w:r>
    </w:p>
    <w:p>
      <w:r>
        <w:rPr>
          <w:b/>
        </w:rPr>
        <w:t>E. 2.4</w:t>
      </w:r>
    </w:p>
    <w:p>
      <w:r>
        <w:t>Le juge peut atténuer la peine ou exempter l'auteur de toute peine lorsque, de sa propre initiative, l'auteur a renoncé à poursuivre l'activité punissable jusqu'à son terme ou qu'il a contribué à empêcher la consommation de l'infraction (art. 23 al. 1 CP).</w:t>
      </w:r>
    </w:p>
    <w:p>
      <w:r>
        <w:rPr>
          <w:b/>
        </w:rPr>
        <w:t>E. 2.5</w:t>
      </w:r>
    </w:p>
    <w:p>
      <w:r>
        <w:t>Vu les faits retenus supra , il est établi que les appelants ont, de concert, échafaudé et mis en oeuvre un stratagème visant à se faire passer pour des employés de l'OCPM et à monnayer à hauteur de CHF 5'000.- la délivrance du permis G de l'intimé par la dispense d'informations fallacieuses, à savoir que le paiement de cette somme était l'unique façon de débloquer la procédure de renouvellement. Il ne fait aucun doute qu'il s'agit là d'une construction astucieuse ayant pour unique but l'obtention d'un enrichissement illégitime. Le rôle de l'appelant dans la commission de l'escroquerie a été essentiel. Il a fourni le permis à l'appelante et était un maillon indispensable de la mise en scène, dès lors qu'il était chargé de conforter la victime dans son erreur en se faisant passer pour un employé supérieur hiérarchiquement à l'appelante afin d'asseoir leur crédibilité. Il connaissait les détails du scénario et sa finalité, soit amener la partie plaignante à commettre un acte préjudiciable à ses intérêts. La part du butin qu'il devait recevoir, soit la moitié, était par ailleurs proportionnelle à son degré de participation. Au regard de ce qui précède, l'on peut retenir que l'appelant a agi en coactivité avec sa comparse. Dans la mesure où la CPAR ne retient pas que l'appelant a renvoyé le permis de l'intimé avant la commission de l'infraction, aucune exemption de peine en application de l'art. 23 al. 1 CP n'entre en ligne de compte. Toutefois, faute de résultat nécessaire à la consommation de l'infraction, l'intimé ne s'étant pas finalement exécuté, A______ sera reconnu coupable de tentative d'escroquerie au sens des art. 22 al. 1 et 146 al. 1 CP et le jugement entrepris confirmé sur ce point.</w:t>
      </w:r>
    </w:p>
    <w:p>
      <w:r>
        <w:rPr>
          <w:b/>
        </w:rPr>
        <w:t>E. 3.1</w:t>
      </w:r>
    </w:p>
    <w:p>
      <w:r>
        <w:t>En application de l'art. 146 al. 1 CP, l'infraction d'escroquerie est passible d'une peine privative de liberté de cinq ans au plus ou d'une peine pécuniaire.</w:t>
      </w:r>
    </w:p>
    <w:p>
      <w:r>
        <w:rPr>
          <w:b/>
        </w:rPr>
        <w:t>E. 3.2</w:t>
      </w:r>
    </w:p>
    <w:p>
      <w:r>
        <w:t>À l'aune de l'art. 2 CP, la réforme du droit des sanctions, entrée en vigueur le 1 er janvier 2018, est en règle générale moins favorable à la personne condamnée (M. DUPUIS / L. MOREILLON / C. PIGUET / S. BERGER / M. MAZOU / V. RODIGARI [éds], Code pénal - Petit commentaire , 2 e éd., Bâle 2017, Rem. prél. ad art. 34 à 41, n. 6). En effet, la peine pécuniaire est désormais de trois jours au moins et jusqu'à 180 jours (art. 34 al. 1 CP). Si le sursis n'est guère remanié pour ce qui concerne la peine privative de liberté, il ne s'applique plus, à titre de sursis partiel, pour ce qui concerne la peine pécuniaire. En l'espèce, les faits reprochés à l'appelant ont été commis avant l'entrée en vigueur du nouveau droit des sanctions. L'ancien droit, lui paraissant plus favorable, sera dès lors appliqué.</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3.4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mesure de l'atténuation dépend de la proximité du résultat et des conséquences effectives des actes commis (ATF 121 IV 49 consid. 1b p. 54-55 ; arrêt du Tribunal fédéral 6B_553/2014 du 24 avril 2015 consid. 3.5.1).</w:t>
      </w:r>
    </w:p>
    <w:p>
      <w:r>
        <w:rPr>
          <w:b/>
        </w:rPr>
        <w:t>E. 3.5</w:t>
      </w:r>
    </w:p>
    <w:p>
      <w:r>
        <w:t>La peine pécuniaire constitue la sanction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p. 100 ; arrêts du Tribunal fédéral 6B_714/2015 du 28 septembre 2015 consid. 1.1 ; 6B_894/2014 du 25 mars 2015 consid. 2.1).</w:t>
      </w:r>
    </w:p>
    <w:p>
      <w:r>
        <w:rPr>
          <w:b/>
        </w:rPr>
        <w:t>E. 3.6</w:t>
      </w:r>
    </w:p>
    <w:p>
      <w:r>
        <w:t>Le juge suspend en règle générale l'exécution d'une peine pécuniaire ou d'une peine privative de liberté de deux ans au plus lorsqu'une peine ferme ne paraît pas nécessaire pour détourner l'auteur d'autres crimes ou délits (cf. art. 42 al. 1 aCP).</w:t>
      </w:r>
    </w:p>
    <w:p>
      <w:r>
        <w:rPr>
          <w:b/>
        </w:rPr>
        <w:t>E. 3.7</w:t>
      </w:r>
    </w:p>
    <w:p>
      <w:r>
        <w:t>Selon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w:t>
      </w:r>
    </w:p>
    <w:p>
      <w:r>
        <w:rPr>
          <w:b/>
        </w:rPr>
        <w:t>E. 3.8</w:t>
      </w:r>
    </w:p>
    <w:p>
      <w:r>
        <w:t>En l'espèce, la faute de l'appelant est moyenne, ses actes ayant eu pour but de s'enrichir illégitimement en portant atteinte au patrimoine d'autrui en profitant d'une situation plaçant sa victime dans une position de faiblesse. Son mobile, qui relève de l'appât du gain, est purement égoïste. Sa situation personnelle, qui ne peut être qualifiée de mauvaise dès lors qu'il est titulaire d'un permis C et bénéficie de l'aide sociale, ne justifie pas ses agissements. Sa collaboration a été mauvaise et sa prise de conscience peut être qualifiée de nulle. Ses explications n'ont pas aidé à la résolution des faits et il n'a eu de cesse, y compris en appel, de modifier sa version et de nier sa culpabilité nonobstant les éléments le confondant. Son casier judiciaire suisse fait état d'un antécédent spécifique datant de 2012. Au regard de ce qui précède, il s'impose de confirmer le choix du genre de peine, au demeurant non contesté, ainsi que la quotité de 120 unités pénales. Afin de fixer à CHF 30.- le montant du jour-amende, le TP a également tenu compte, à satisfaction, de la situation économique précaire de l'appelant, sans emploi et au bénéfice de l'aide sociale. Le bénéfice du sursis est par ailleurs acquis à l'appelant et le délai d'épreuve a valablement été fixé à cinq ans compte tenu de son antécédent spécifique et du risque de récidive. Le jugement entrepris sera dès lors confirmé sur ce point également.</w:t>
      </w:r>
    </w:p>
    <w:p>
      <w:r>
        <w:rPr>
          <w:b/>
        </w:rPr>
        <w:t>E. 4</w:t>
      </w:r>
    </w:p>
    <w:p>
      <w:r>
        <w:t>4.1. Les dispositions sur l'expulsion ne s'appliquent qu'aux infractions commises à partir du 1 er octobre 2016. Les antécédents judiciaires antérieurs au 1 er octobre 2016 sont pris en considération, y compris les antécédents de droit pénal des mineurs ( AARP/185/2017 du 2 juin 2017 consid. 2.1 ; AARP/119/2017 du 20 mars 2017 consid. 4.1 ; AARP/179/2017 du 30 mai 2017 consid. 3.1.2). 4.2.1. 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 AARP/119/2017 du 20 mars 2017 consid. 4.1). 4.2.2. L'art. 66a al. 2 CP définit une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4.2.3.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84 al. 5 de la loi fédérale sur les étrangers [LEtr - RS 142.20], ainsi que l'art. 14 de la loi sur l'asile [LAsi -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4.2.4.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du 18 avril 1999 [Cst. - RS 101]) et par le droit international, en particulier l'art. 8 de la Convention de sauvegarde des droits de l'homme et des libertés fondamentales du 4 novembre 1950 (CEDH - RS 0.101) (arrêt du Tribunal fédéral 6B_1192/2018 du 23 janvier 2019 consid. 2.1.2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4.2.5. Pour se prévaloir du respect au droit de sa vie privée au sens de l'art. 8 § 1 CEDH, l'étranger doit établir l'existence de liens sociaux et professionnels spécialement intenses avec la Suisse, notamment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le pays. Il procède bien plutôt à une pesée des intérêts en présence, en considérant la durée du séjour comme un élément parmi d'autres et en n'accordant qu'un faible poids aux années passées en Suisse dans l'illégalité, en prison ou au bénéfice d'une simple tolérance (ATF 134 II 10 , consid. 4.3 ; arrêts 6B_143/2019 du 6 mars 2019, consid.3.3.2 et 6B_1329/2018 du 14 février 2019 consid. 2.3.2.). 4.2.6. La présence d'une famille en Suisse, soit d'une épouse/concubine et d'un enfant, ne peut, à elle seule, commander l'application automatique de la clause de rigueur (cf. arrêt 6B_143/2019 du 6 mars 2019, consid. 3.4.2).</w:t>
      </w:r>
    </w:p>
    <w:p>
      <w:r>
        <w:rPr>
          <w:b/>
        </w:rPr>
        <w:t>E. 4.3</w:t>
      </w:r>
    </w:p>
    <w:p>
      <w:r>
        <w:t>En l'espèce,l'appelante a notamment été reconnue coupable d'escroquerie à l'aide sociale, qui constitue un cas d'expulsion obligatoire au sens de l'art. 66a al. 1 let. e CP. Agée de 35 ans, l'appelante est arrivée en Suisse en 2012, soit il y a moins de 10 ans et alors qu'elle était déjà adulte. La durée de son séjour ne peut pas être considérée comme longue. Elle s'est trouvée au bénéfice de l'aide sociale dès 2013, soit peu de temps après son arrivée. Il est établi qu'en 2014 déjà, elle percevait des revenus sans en informer l'HG, soit notamment en sous-louant des appartements à des personnes en situation irrégulière. Lors de l'audience de jugement de première instance, elle était sans revenu et subvenait à ses besoins grâce à son compagnon selon ses dires, bien qu'elle soit titulaire de deux entreprises. Il n'est pas allégué en appel que sa situation se soit modifiée, si bien qu'elle ne peut être considérée comme intégrée professionnellement en Suisse. Elle n'y a par ailleurs aucune attache, hormis son compagnon avec lequel elle affirme vouloir se marier depuis l'audience de jugement de première instance, sans toutefois que des démarches en ce sens aient été entreprises, les pièces produites à cet égard par ses soins n'étayant pas ce projet. Ses parents vivent au Portugal, pays où une réintégration n'apparaît pas compliquée dès lors qu'elle y a vécu jusqu'à son arrivée en Suisse. Au vu de ce qui précède, son expulsion vers ce pays ne placerait dès lors pas l'appelante dans une situation personnelle grave. La mesure prononcée par le TP, dont la durée correspond au minimum légal, doit par conséquent être confirmée.</w:t>
      </w:r>
    </w:p>
    <w:p>
      <w:r>
        <w:rPr>
          <w:b/>
        </w:rPr>
        <w:t>E. 5</w:t>
      </w:r>
    </w:p>
    <w:p>
      <w:r>
        <w:t>1. Vu la confirmation du jugement entrepris, les frais de première instance par CHF 1'937.-, y compris un émolument de jugement de CHF 300.-, seront laissés à la charge des appelants à raison de 2 / 3 pour C______ et 1 / 3 pour A______ (art. 426 CPP) et l'émolument de jugement complémentaire de CHF 900.- sera laissé à leur charge à hauteur d' 1 / 2 chacun.</w:t>
      </w:r>
    </w:p>
    <w:p>
      <w:r>
        <w:rPr>
          <w:b/>
        </w:rPr>
        <w:t>E. 5.2</w:t>
      </w:r>
    </w:p>
    <w:p>
      <w:r>
        <w:t>Les appelants succombent dans leurs appels, de sorte qu'ils supporteront les ¾ pour A______ et le ¼ pour C______, des frais de la procédure d'appel en CHF 2'225.-, comprenant un émolument de CHF 2'000.-.</w:t>
      </w:r>
    </w:p>
    <w:p>
      <w:r>
        <w:rPr>
          <w:b/>
        </w:rPr>
        <w:t>E. 6</w:t>
      </w:r>
    </w:p>
    <w:p>
      <w:r>
        <w:t>6.1.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 BB.2013.127 du 4 décembre 2013 consid. 4.2).</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6.4.1. L'avocate de l'appelante produit un état de frais comptabilisant, pour la procédure d'appel, 7 heures et 20 minutes d'activité de cheffe d'étude. Il convient de retrancher les 20 minutes consacrées à la lecture du jugement de première instance ainsi que l'heure de rédaction de la déclaration d'appel, dès lors qu'il s'agit de prestations inclues dans le forfait pour activités diverses. Le temps consacré à l'audience de jugement sera en outre réduit à sa durée effective, soit 1 heure. En conclusion, l'indemnité sera arrêtée à CHF 1'292.40 correspondant à 5 heures d'activité au tarif de CHF 200.-/heure (CHF 1'000.-), plus la majoration forfaitaire de 10% (CHF 100.-) ainsi que le déplacement à l'audience d'appel (CHF 100.-) et l'équivalent de la TVA au taux de 7.7% (CHF 92.40). 6.4.2. L'avocate de l'appelant produit un état de frais comptabilisant, pour la seule procédure d'appel, 12 heures et 55 minutes d'activité de cheffe d'étude, ce qui est excessif au regard de la nature et de la complexité de la cause. Les 5 heures et 10 minutes consacrées à l'étude du dossier seront ramenées à 2 heures, amplement suffisantes pour se réimprégner du dossier, les faits de la cause étant considérés comme bien connus de l'avocate à ce stade de la procédure, pour avoir déjà assisté l'appelant en première instance. L'audience d'appel sera indemnisée à hauteur de sa durée effective, soit 1 heure. En conclusion, l'indemnité sera arrêtée à CHF 2'110.90 correspondant à 7 heures et 45 minutes d'activité au tarif de CHF 200.-/heure (CHF 1'550.-), plus la majoration forfaitaire de 20% (CHF 310.-) ainsi que le déplacement à l'audience d'appel (CHF 100.-) et l'équivalent de la TVA au taux de 7.7% (CHF 150.90).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