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P/21889/2020 vom 15. Februar 2023</w:t>
      </w:r>
    </w:p>
    <w:p>
      <w:r>
        <w:t>GE Cour de justice, 2023-02-15, FR</w:t>
      </w:r>
    </w:p>
    <w:p>
      <w:r>
        <w:rPr>
          <w:b/>
        </w:rPr>
        <w:t xml:space="preserve">Quelle: </w:t>
      </w:r>
      <w:r>
        <w:t>https://mcp.opencaselaw.ch/entscheid/ge_gerichte_P_21889_2020</w:t>
      </w:r>
    </w:p>
    <w:p>
      <w:r>
        <w:t>FR: GE_GERICHTE P/21889/2020 du 15 février 2023</w:t>
      </w:r>
    </w:p>
    <w:p>
      <w:r>
        <w:t>IT: GE_GERICHTE P/21889/2020 del 15 febbraio 2023</w:t>
      </w:r>
    </w:p>
    <w:p>
      <w:pPr>
        <w:pStyle w:val="Heading2"/>
      </w:pPr>
      <w:r>
        <w:t>Regeste</w:t>
      </w:r>
    </w:p>
    <w:p>
      <w:r>
        <w:t>aCP.286</w:t>
      </w:r>
    </w:p>
    <w:p>
      <w:pPr>
        <w:pStyle w:val="Heading2"/>
      </w:pPr>
      <w:r>
        <w:t>Erwägungen</w:t>
      </w:r>
    </w:p>
    <w:p>
      <w:r>
        <w:rPr>
          <w:b/>
        </w:rPr>
        <w:t>E. 1</w:t>
      </w:r>
    </w:p>
    <w:p>
      <w:r>
        <w:t>L'appel et l'appel-joint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et 145 IV 154 consid. 1.1).</w:t>
      </w:r>
    </w:p>
    <w:p>
      <w:r>
        <w:rPr>
          <w:b/>
        </w:rPr>
        <w:t>E. 3</w:t>
      </w:r>
    </w:p>
    <w:p>
      <w:r>
        <w:t>3.1.1. L'art. 286 CP réprime celui qui aura empêché un fonctionnaire de faire un acte entrant dans ses fonctions. 3.1.2.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 citées). Le comportement incriminé suppose une résistance qui implique une certaine activité (ATF 133 IV 97 consid. 4.2 p. 100 ; 127 IV 115 consid. 2 p. 117 et les références citées). Au contraire, l'infraction n'est pas réalisée si l'auteur se borne à ne pas obtempérer à un ordre qui lui est donné, par exemple de souffler dans l'éthylomètre, de parler moins fort ou de ne pas conduire (ATF 127 IV 115 consid. 2 p. 117 ; 120 IV 136 consid. 2a p. 139 et références citées) ou qu'il se contente d'exprimer son désaccord à l'endroit d'un acte entrepris par un fonctionnaire, mais sans l'entraver (ATF 105 IV 48 consid. 3 p. 49). L'infraction réprimée à l'art. 286 CP requiert l'intention ; le dol éventuel suffit.</w:t>
      </w:r>
    </w:p>
    <w:p>
      <w:r>
        <w:rPr>
          <w:b/>
        </w:rPr>
        <w:t>E. 3.2</w:t>
      </w:r>
    </w:p>
    <w:p>
      <w:r>
        <w:t>Il n'est guère douteux, sur la base des constations policières, que c'est bien l'appelant, et non un tiers demeuré non identifié, qui a pris la fuite dans la nuit du 31 octobre au 1 er novembre 2020. Même s'il faisait nuit, le témoin C______ ne se situait qu'à une dizaine de mètres de l'appelant et était ainsi parfaitement à même de le voir et de le reconnaître grâce à l'éclairage public. En revanche, on ne conçoit guère à quel acte officiel le comportement de l'appelant a pu constituer une entrave. En effet, il ne ressort pas du dossier, en particulier de ses déclarations, qu'à l'occasion de sa patrouille, le témoin C______ a cherché à contrôler l'identité de l'appelant, contrairement à ce qui est retenu dans l'acte d'accusation, et encore moins à l'interpeller lors de sa fuite, ce qui lui aurait été loisible de faire, compte tenu de la faible distance les séparant et du fait qu'il patrouillait avec son chien, non tenu en laisse, auquel il aurait pu ordonner de poursuivre l'appelant, ce qu'il n'a pas fait. Or, le simple fait de partir en courant à la vue d'un policier, sans que celui-ci n'ait préalablement, ou durant la fuite, manifesté l'intention d'accomplir un acte entrant dans le cadre de ses fonctions à l'égard du fuyard, ne saurait être punissable. Il y a dès lors lieu de réformer le jugement du TP sur ce point et d'acquitter l'appelant du chef d'empêchement d'accomplir un acte officiel.</w:t>
      </w:r>
    </w:p>
    <w:p>
      <w:r>
        <w:rPr>
          <w:b/>
        </w:rPr>
        <w:t>E. 4</w:t>
      </w:r>
    </w:p>
    <w:p>
      <w:r>
        <w:t>4.1. L'art. 19 al. 1 LStup punit d'une peine privative de liberté de trois ans au plus ou d'une peine pécuniaire notamment celui qui sans droit, possède, détient ou acquiert des stupéfiants ou s’en procure de toute autre manière (let. d).</w:t>
      </w:r>
    </w:p>
    <w:p>
      <w:r>
        <w:rPr>
          <w:b/>
        </w:rPr>
        <w:t>E. 4.2</w:t>
      </w:r>
    </w:p>
    <w:p>
      <w:r>
        <w:t>Il est établi que le 16 novembre 2020, la police a trouvé, à trois ou quatre mètres de l'endroit où l'appelant a été interpellé, sept parachutes de cocaïne, dissimulés entre deux véhicules. Contrairement à ce que soutient l'intimé/appelant-joint, le dossier ne permet pas d'établir que cette drogue appartenait à l'appelant. En effet, aucun profil ADN interprétable n'a été mis en évidence sur les parachutes de cocaïne. Les témoins C______ et D______ n'ont pas vu l'appelant les jeter ou les dissimuler. A cela s'ajoute le fait que plusieurs individus ont pris la fuite à la vue de la police, de sorte qu'il ne peut pas être exclu que la drogue a été abandonnée sur place par l'un d'eux, ou encore à un autre moment par un tiers, s'agissant d'un endroit régulièrement fréquenté par les vendeurs de drogue. Dans cette mesure, la simple proximité géographique de l'appelant avec la drogue saisie ne saurait suffire à assoir un verdict de culpabilité. C'est dès lors à juste titre que le premier juge, dont le jugement sera confirmé sur ce point, a acquitté l'appelant du chef d'infraction à l'art. 19 al. 1 let. d LStup.</w:t>
      </w:r>
    </w:p>
    <w:p>
      <w:r>
        <w:rPr>
          <w:b/>
        </w:rPr>
        <w:t>E. 5</w:t>
      </w:r>
    </w:p>
    <w:p>
      <w:r>
        <w:t>5.1. Vu l’acquittement prononcé, l’appelant peut prétendre à être indemnisé du tort moral causé par la détention subie, conformément à l’art. 429 al. 1 let. c CPP.</w:t>
      </w:r>
    </w:p>
    <w:p>
      <w:r>
        <w:rPr>
          <w:b/>
        </w:rPr>
        <w:t>E. 5.2</w:t>
      </w:r>
    </w:p>
    <w:p>
      <w:r>
        <w:t>L'appelant a été arrêté le 16 novembre 2020 à 18h08 et libéré le lendemain à 14h13. Il a ainsi été privé de liberté pendant moins de 24 heures, de sorte qu'il convient de retenir que sa détention a duré un jour (art. 51 et 110 al. 6 CP). Ainsi, il se justifie de lui allouer une indemnité de CHF 200.-, avec intérêts à 5 % dès le 17 novembre 2020, et non de CHF 400.-, comme sollicité.</w:t>
      </w:r>
    </w:p>
    <w:p>
      <w:r>
        <w:rPr>
          <w:b/>
        </w:rPr>
        <w:t>E. 6</w:t>
      </w:r>
    </w:p>
    <w:p>
      <w:r>
        <w:t>Le jugement du TP sera en outre confirmé s'agissant de la confiscation et de la destruction de la drogue saisie (art. 69 CP), point au demeurant non contesté en appel.</w:t>
      </w:r>
    </w:p>
    <w:p>
      <w:r>
        <w:rPr>
          <w:b/>
        </w:rPr>
        <w:t>E. 7</w:t>
      </w:r>
    </w:p>
    <w:p>
      <w:r>
        <w:t>Vu l'admission de l'appel principal, sous réserve de l'indemnité revue à la baisse, point mineur que la CPAR doit examiner d'office en pareil cas, et le rejet de l'appel-joint du MP, les frais de la procédure préliminaire, de la procédure de première instance et d'appel seront laissés à la charge de l'Etat (art. 428 CPP a contrario).</w:t>
      </w:r>
    </w:p>
    <w:p>
      <w:r>
        <w:rPr>
          <w:b/>
        </w:rPr>
        <w:t>E. 8</w:t>
      </w:r>
    </w:p>
    <w:p>
      <w:r>
        <w:t>8.1.1.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8.2</w:t>
      </w:r>
    </w:p>
    <w:p>
      <w:r>
        <w:t>En l'occurrence, l'état de frais déposé par M e B______ comprend 45 minutes d'examen du dossier et de rédaction de la déclaration d'appel. Or, à ce stade de la procédure, le dossier est connu du conseil de l'appelant, qui l'a traité depuis la procédure préliminaire. En outre, la rédaction de la déclaration d'appel est incluse dans le forfait correspondance/téléphone, de sorte qu'il n'y a pas lieu d'indemniser cette activité. En conclusion, la rémunération sera arrêtée à CHF 1'098.55 correspondant à quatre heures et 15 minutes d'activité au tarif de CHF 200.-/heure (CHF 850.-), plus la majoration forfaitaire de 20% % (CHF 170.-) et l'équivalent de la TVA au taux de 7.7% (CHF 78.55).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