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P/21887/2019 vom 18. Oktober 2023</w:t>
      </w:r>
    </w:p>
    <w:p>
      <w:r>
        <w:t>GE Cour de justice, 2023-10-18, FR</w:t>
      </w:r>
    </w:p>
    <w:p>
      <w:r>
        <w:rPr>
          <w:b/>
        </w:rPr>
        <w:t xml:space="preserve">Quelle: </w:t>
      </w:r>
      <w:r>
        <w:t>https://mcp.opencaselaw.ch/entscheid/ge_gerichte_P_21887_2019</w:t>
      </w:r>
    </w:p>
    <w:p>
      <w:r>
        <w:t>FR: GE_GERICHTE P/21887/2019 du 18 octobre 2023</w:t>
      </w:r>
    </w:p>
    <w:p>
      <w:r>
        <w:t>IT: GE_GERICHTE P/21887/2019 del 18 ottobre 2023</w:t>
      </w:r>
    </w:p>
    <w:p>
      <w:pPr>
        <w:pStyle w:val="Heading2"/>
      </w:pPr>
      <w:r>
        <w:t>Regeste</w:t>
      </w:r>
    </w:p>
    <w:p>
      <w:r>
        <w:t>CP.320</w:t>
      </w:r>
    </w:p>
    <w:p>
      <w:pPr>
        <w:pStyle w:val="Heading2"/>
      </w:pPr>
      <w:r>
        <w:t>Erwägungen</w:t>
      </w:r>
    </w:p>
    <w:p>
      <w:r>
        <w:rPr>
          <w:b/>
        </w:rPr>
        <w:t>E. 1</w:t>
      </w:r>
    </w:p>
    <w:p>
      <w:r>
        <w:t>L'appel et l'appel joint sont recevables pour avoir été interjetés et motivés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.6. Selon l'art. 301 CPP, chacun a le droit de dénoncer des infractions à une autorité de poursuite pénale, par écrit ou oralement (al. 1). L'autorité de poursuite pénale informe le dénonciateur, à sa demande, sur la suite qu'elle a donnée à sa dénonciation (al. 2). Le dénonciateur qui n'est ni lésé, ni partie plaignante ne jouit d'aucun autre droit en procédure (al. 3). Si le dénonciateur en fait la demande, il doit être informé de la suite qui a été donnée à sa dénonciation, notamment lorsque celle-ci a été déposée auprès de la police, compétence appartenant à l'autorité de poursuite pénale qui statue sur le sort de la dénonciation, à savoir le ministère public ou à l'autorité compétente en matière de contravention. L'autorité ne peut pas communiquer au dénonciateur le jugement qui a été rendu, mais doit se limiter à lui communiquer la décision prise, à savoir une ordonnance de non-entrée en matière, une ordonnance pénale, un classement ou encore une mise en accusation. L'autorité n'a pas à fournir d'autres éléments et n'a pas à se justifier, sauf à commettre une violation du secret de fonction (art. 320 CP) et de la procédure (art. 73 CPP) (Y. JEANNERET / A. KUHN / C. PERRIER DEPEURSINGE [éds.], Commentaire romand, Code de procédure pénale, 2 ème éd., 2019, Bâle, n. 3 ad art. 301). 2.7.1. En l'occurrence, il est établi qu'en sa qualité de policier, le prévenu a envoyé à C______ les messages incriminés des 12 mars 2017, 18 avril 2017, 15 septembre 2017, 1 er au 2 novembre 2017, 8 janvier 2018 et 30 novembre 2018, via l'application WhatsApp de son téléphone professionnel, sans qu'il n'y ait lieu de douter que ce dernier les ait reçus et ait ainsi eu tout le loisir d'en prendre connaissance, au vu du fil de discussions entre les précités versé à la procédure. Ces messages contenaient des données personnelles et sensibles relatives à des travailleuses du sexe ainsi qu'à des exploitants, obtenues par le prévenu dans le cadre de ses fonctions et inscrites notamment dans le fichier K______ " ______ ", au journal des événements de la police ou encore au système RIPOL, dont la teneur est la suivante : E______, gérant de salons érotiques, était interdit d'exploiter pour une durée de dix ans (extrait no 15) ; F______ était interdite de séjour en Suisse du 10 octobre 2016 au 9 octobre 2018 (extrait no 16) ; une travailleuse du sexe, non identifiée, avait déposé deux IMES à G______, le détail du nombre de jours effectués et le solde disponible étant également mentionnés (extrait no 22) ; H______, européenne et qui avait annoncé son départ à l'étranger à la fin de la validité de son permis, en juin 2017, refusait d'ouvrir la porte lors d'un contrôle de police au sein d'un salon de massages et n'avait plus la possibilité de déposer un IMES dans la mesure où la dernière autorisation sollicitée, pour la période du 10 au 16 octobre 2017, lui avait été refusée, si bien que la concernée allait être amendée (extrait no 23) ; une travailleuse du sexe dominicaine, non identifiée, était sous mandat zurichois pour une amende de CHF 300.- impayée (extrait no 32) ; I______, gérant de salons érotiques, était en train de faire l'objet d'un contrôle de police (extrait no 41). 2.7.2. Il ressort incontestablement du dossier et de la nature même du fichier K______, du système RIPOL et du journal des évènements de la police, que ceux-ci sont hautement sensibles, puisqu'ils répertorient des données policières de particuliers, ainsi que, pour le premier cité, de travailleuses du sexe, et les informations personnelles concernant leur identité et leur situation administrative (soit notamment leur nom, prénom, date et lieu de naissance, origine, adresse, alias, date de recensement, numéros de téléphone et informations relatives au titre de séjour). Le simple fait de figurer dans ces fichiers constitue déjà, une donnée personnelle sensible, raison pour laquelle leur accès est limité. L'intérêt légitime que les personnes figurant dans ces fichiers ont à ce qu'ils soient maintenus secret est manifeste, en particulier en ce qui concerne les travailleuses du sexe au vu de leur position vulnérable liée à la nature de leurs activités. De surcroît, ces informations ont trait à l'activité policière et sont donc par définition sensibles, l'institution n'ayant pas vocation à partager les détails de son activité mais devant au contraire en préserver la confidentialité pour pouvoir remplir sa mission. Ainsi, les données transmises revêtent manifestement la qualité de secret au sens de l'art. 320 CP. Reste à déterminer si le prévenu était en droit de divulguer ces informations. À cet égard et contrairement à ce qu'il soutient, l'art. 12 let. b LProst ne vise que les exploitants de salons érotiques et ne lui confère ainsi aucun droit. Seul le consentement de l'intéressé à la divulgation de renseignements le concernant peut éventuellement entrer en considération, ni le devoir de fonction, ni la sauvegarde d'intérêts légitimes n'étant applicables au vu des faits reprochés et des circonstances du cas d'espèce. 2.7.3.1. L'extrait no 15 concerne des données personnelles touchant à la seule sphère privée de E______ et il ne ressort pas du dossier qu'il aurait consenti à la divulgation de telles informations, ce qui exclut ainsi un quelconque fait justificatif. Cela étant, au vu des témoignages de W______ et de V______, qui corroborent la version du prévenu, un doute subsiste quant à savoir si l'interdiction d'exploiter dont faisait l'objet le concerné était connue d'un large cercle de personnes, dont C______ et ce, malgré les déclarations contraires de ce dernier. En effet, même s'il était considéré comme une source fiable de renseignements par la police, il n'apparaît pas invraisemblable qu'il n'ait pas souhaité s'exposer davantage lors de son audition, étant relevé qu'il faisait également l'objet d'une procédure pénale en cours, de sorte qu'il n'est pas surprenant qu'il ait minimisé ses connaissances. C______ n'a semblé par ailleurs en aucun cas surpris de cette communication lors de l'échange litigieux. Au contraire, la manière dont il a engagé la conversation, puis répondu, laisse penser qu'il s'est étonné que le concerné ait pu ouvrir un salon, ce qui tendrait à démontrer qu'il était déjà en possession de cette information, même si le dossier ne permet pas de l'établir de manière certaine, en particulier au vu des déclarations contradictoires des protagonistes. Ainsi, en vertu du principe in dubio pro reo, il convient donc de retenir la version la plus favorable au prévenu et il doit être considéré que ce dernier n'a pas violé son secret de fonction dès lors que son interlocuteur connaissait déjà l'information divulguée. L'acquittement de l'intimé sera donc confirmé pour cette occurrence. 2.7.3.2. Pour ce qui est des échanges nos 16 et 22, il sied de préciser que les données communiquées concernent exclusivement la sphère privée des deux travailleuses du sexe, de sorte que le maintien du secret ne sert ici pas les intérêts de l'État mais bien ceux des administrées. À l'instar du TP, la Cour considère qu'il convient de tenir compte du contexte particulier du fonctionnement de la BTPI à l'époque des faits litigieux et des pratiques mises en place et tolérées par la hiérarchie, ce dont le MP a également conscience pour avoir classé une partie des occurrences reprochées pour ce motif. Or, il ressort du dossier, s'agissant de l'extrait no 16, que F______ avait préalablement contacté C______ pour qu'il se renseigne sur sa situation, notamment administrative, ce qu'il a fait, dès lors qu'elle souhaitait travailler dans un de ses salons mais qu'étant dépourvue d'un passeport valable en automne 2016, elle avait été renvoyée de Suisse à l'époque par les autorités zurichoises, information qu'elle a communiquée au gérant. Agissant pour le compte de la travailleuse du sexe et en accord avec celle-ci, à laquelle il a confirmé qu'il allait se renseigner auprès de la police genevoise, il a contacté l'intimé. Il s'ensuit que C______ s'est adressé à ce dernier avec le consentement de la travailleuse du sexe, si bien qu'il faisait partie des tiers autorisés à recevoir ce renseignement, ce qui exclut la révélation d'un secret. Une telle façon de procéder apparaît également conforme aux obligations des gérants, lesquels doivent s'assurer que leurs recrues ne contreviennent pas à la législation, notamment en matière du droit des étrangers, en vertu de l'art. 12 let. b LProst. Tant le prévenu que les témoins V______ et U______ ont par ailleurs confirmé qu'il appartenait au gérant de fournir toutes les informations utiles sur les travailleuses du sexe et qu'il était parfois difficile pour celles-ci de comprendre la législation en la matière, raison pour laquelle elles mandataient l'exploitant pour qu'il effectue, pour leur compte, toutes les démarches utiles à l'obtenir d'une autorisation d'exercer. Il importe peu de savoir si le prévenu s'était préalablement assuré que C______ était en droit de recevoir ces informations dans la mesure où tel était bien le cas. Ses agissements n'ont ainsi pas lésé des intérêts particuliers. Dans ces conditions et compte tenu de la pratique existante à l'époque, il ne peut être considéré que le prévenu a violé son secret de fonction en communiquant une information qu'il était en droit de révéler. Il en va de même de l'échange no 22. Le MP a reconnu que la communication aux gérants du solde de jours de l'IMES était usuelle. Une telle pratique, qui existait notamment au sein de la BTPI, impliquait que l'exploitant connaissait également le nombre de jours déjà utilisés, ce qui a été confirmé par les témoins V______ et U______. Or, il ressort de la conversation litigieuse que la travailleuse du sexe souhaitait exercer au sein de l'un des salons appartenant à C______, lequel était le cas échéant prêt à demander un permis pour son compte en l'absence d'un solde de jours disponibles. La concernée avait ainsi mandaté l'exploitant pour qu'il effectue ces démarches, qui impliquaient nécessairement qu'il obtienne des renseignements sur l'IMES en cours. Le prévenu n'était certes pas légitimé de manière générale à informer un exploitant de l'ancien lieu de travail de sa future recrue. Cela étant, dans le cas présent, le prévenu a uniquement précisé qu'elle avait travaillé précédemment à G______, soit en Suisse, sans mentionner ni le nom du gérant, ni celui du salon dans lequel elle avait exercé, afin que C______ dispose des informations nécessaires pour les démarches à effectuer pour sa future recrue, celle-ci ne disposant pas de toutes les données utiles. De par le mandat qu'elle avait conféré à C______, la travailleuse du sexe a ainsi implicitement consenti à ce que ce dernier obtienne également ce type de renseignements. Par conséquent, C______ faisait partie des tiers autorisés à recevoir cette information, si bien qu'il n'y a pas eu de révélation d'un secret et ce, en dépit du fait que le prévenu n'a effectué aucune vérification à cet égard. Partant, il ne peut être considéré que le prévenu a violé son secret de fonction. Son acquittement sera donc confirmé également pour ces deux occurrences. 2.7.3.3. Il en va toutefois différemment concernant H______ (extrait no 23). Contrairement aux deux autres occurrences, la concernée n'avait pas mandaté C______ pour qu'il se renseigne à son sujet. Le prévenu n'avait ainsi aucun droit de communiquer à ce dernier des données la concernant, qui plus est sensibles car inscrites tant dans le ficher K______ que dans le journal des événements de la police et que C______ ne pouvait pas obtenir par une autre voie, n'étant pas le gérant employant la travailleuse du sexe en question. Il importe peu que cette dernière ait préalablement souhaité exercer chez C______, ce qui n'est au demeurant pas établi au vu des déclarations contradictoires de ce dernier. En effet, à teneur de la conversation entre les protagonistes et des questions posées par C______, on perçoit que celui-ci ignorait tant les détails du statut administratif que la provenance de l'intéressée, données que le prévenu n'avait pas besoin de communiquer, étant relevé qu'il n'avait en tout état pas à expliquer, encore moins justifier, si des mesures administratives devaient ou non être prises à l'égard de l'intéressée. En fournissant spontanément ces renseignements, le prévenu a ainsi violé son secret de fonction, ce qu'il a eu demeurant reconnu, concédant que certaines des informations transmises étaient inutiles. Il en va de même de l'intervention policière en cours et des sanctions infligées. Il est en effet notoire qu'un policier ne peut communiquer ce type de renseignements, quand bien même le dénonciateur est en droit d'être informé du sort d'une dénonciation pénale. Contrairement au TP, la Cour considère que le déroulement d'une telle intervention est couvert par le secret de fonction, nécessaire à l'accomplissement sans entrave des tâches de l'État. L'intervention policière est inscrite de surcroît dans le journal des événements de la police, ce qui tend à confirmer l'importance de sa confidentialité. Quand bien même C______ était informé de la présence de la travailleuse du sexe dans l'immeuble pour l'avoir vue en robe de nuit dans l'escalier, comme le soutient le prévenu, rien n'indique qu'il était certain qu'elle exerçait au sein d'un autre salon de massages de manière illégale, information que le prévenu lui a pourtant confirmée, à l'instar de la stratégie policière déployée pour arrêter la concernée. Peu importe que ces dernières données, la travailleuse du sexe refusant initialement d'ouvrir la porte, les policiers envisageant de défoncer cette dernière, apparaissent anecdotiques dès lors qu'elles restent couvertes par le secret de fonction. Les questions posées par C______ démontrent par ailleurs qu'il ignorait le déroulement des faits, en dépit de son éventuelle présence dans l'immeuble. Le prévenu n'avait ainsi aucun droit de dévoiler ou même de confirmer ces éléments. Aucune erreur sur l'illicéité n'entre en considération (art. 21 CP). Au vu des pratiques policières de l'époque, le prévenu ne pouvait ignorer qu'il n'était pas en droit de divulguer de tels renseignements à un tenancier tiers. Il a au contraire agi intentionnellement, conscient de l'illicéité de ses actes, dans l'unique but de satisfaire la curiosité de C______, dénonciateur reconnu des services de police, afin d'entretenir, certainement, un contact étroit avec celui-ci. Ainsi, le prévenu sera reconnu coupable de violation du secret de fonction et le jugement de première instance modifié en ce sens. 2.7.3.4. S'agissant de l'extrait no 32, l'information divulguée sur la travailleuse du sexe, sous mandat zurichois pour une amende de CHF 300.- impayée, provient du système RIPOL, dont l'accès est extrêmement limité vu la confidentialité des données y figurant. Les témoins U______ et V______ ont confirmé que ces renseignements n'étaient jamais transmis à des tiers, y compris ceux relatifs aux contraventions impayées. Selon les précités, aucune pratique n'avait été mise en place au sein de la BTPI afin d'anticiper tout problème lors de l'enregistrement d'une travailleuse du sexe. Au contraire, les inspecteurs, qui étaient prévenus à l'avance via le calendrier partagé, s'organisaient directement avec la concernée lors du rendez-vous pour qu'elle règle la contravention, en l'accompagnant afin qu'elle s'acquitte de l'amende ou en prévenant, en accord avec celle-ci, un tiers pour qu'il vienne la payer pour son compte. Il existait ainsi une procédure au sein même de la BTPI qui ne nécessitait en aucun cas d'avertir au préalable les tenanciers, lesquels, contrairement à ce que soutient le prévenu, n'ont aucune d'obligation d'obtenir ce type de données, tâche incombant uniquement à la BTPI qui procède à des vérifications avant toute procédure d'annonce. Au vu de ce qui précède, la Cour considère que le mandat conféré par la travailleuse du sexe au gérant de salons n'englobait pas la transmission de ce type d'informations dans le mesure où la communication de cette donnée est uniquement du ressort de la BTPI, de sorte que les agissements du prévenu ne sont pas couverts par le consentement de l'intéressée. De surcroît, ces données ne servent pas uniquement les intérêts privés des particuliers, dès lors qu'il existe un intérêt indépendant et prépondérant de l'État au maintien du secret des informations issues du système RIPOL, ne serait-ce que pour éviter que les personnes concernées ne se soustraient aux autorités. L'erreur sur l'illicéité (art. 21 CP) n'entre pas non plus en considération pour cette occurrence compte tenu de la procédure mise en place par la BTPI, ce que le prévenu ne pouvait ignorer. Il a en effet confirmé que, dans l'absolu, les informations inscrites au RIPOL n'étaient pas dévoilées et qu'il avait procédé de la sorte uniquement pour faciliter le processus. Il a ainsi agi intentionnellement, contournant la procédure usuelle pour gagner du temps. Ainsi, le prévenu sera également reconnu coupable de violation du secret de fonction pour cette occurrence et le jugement de première instance modifié en ce sens. 2.7.3.5. L'extrait no 41 fait état du contrôle de police en cours dans l'un des salons de massages de I______. Ici encore, le prévenu n'a pas su expliquer la nécessité de cette communication, alléguant que son interlocuteur était certainement déjà informé de l'arrivée de la police dans le quartier D______, vu la transmission instantanée de ce type de renseignement. On peine également à comprendre l'utilité de cette communication si le but était uniquement d'avertir C______ de sa présence afin de convenir d'un prochain rendez-vous, comme il le prétend pourtant. Il aurait en effet pu simplement lui confirmer qu'il était bientôt disponible, sans mentionner ses faits et gestes, qui plus est en lien avec le contrôle d'un salon à proximité du sien. Même si, comme il le soutient, il avait agi par mégarde, sans aucune intention de prévenir son interlocuteur d'une éventuelle inspection, il a communiqué à un tiers des données couvertes par le secret de fonction, et ce, sans un quelconque fait justificatif, le témoin V______, ayant en particulier indiqué qu'il n'était pas d'usage de communiquer une telle information. Aucun élément au dossier ne permet de mettre le prévenu au bénéfice de l'art. 21 CP de sorte qu'il a violé son secret de fonction intentionnellement ou à tout le moins par dol éventuel. 2.7.4. Partant, l'appelant joint sera reconnu coupable de violation du secret de fonction (art. 320 ch. 1 al. 1 CP) en lien avec les extraits nos 23, 32 et 41, et acquitté pour le surplus. Le jugement de première instance sera réformé en ce sens.</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144 IV 345 consid. 2.2.3.1 ; 127 I 28 consid. 2a). En tant que règle sur le fardeau de la preuve, ce principe signifie qu'il incombe à l'accusation d'établir la culpabilité de l'accusé, et non à ce dernier de démontrer son innocence (ATF 127 I 38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La violation du secret de fonction, au sens de l'art. 320 ch. 1 al. 1 CP, réprime le comportement de celui qui aura révélé un secret à lui confié en sa qualité de membre d'une autorité ou de fonctionnaire, ou dont il avait eu connaissance à raison de sa charge ou de son emploi. La révélation demeure punissable alors même que la charge ou l'emploi a pris fin. L'art. 320 CP protège principalement l'intérêt de la collectivité à la discrétion des fonctionnaires et membres des autorités nécessaires à l'accomplissement sans entrave des tâches de l'État. L'intérêt des particuliers au secret peut toutefois également être touché (ATF 142 IV 65 consid. 5.1 ; arrêt du Tribunal fédéral 6B_1369/2016 du 20 juillet 2017 consid. 4.3.1). 2.2.2. L'infraction de violation du secret de fonction est un délit propre pur. Elle ne peut être commise que par un fonctionnaire ou par un membre d'une autorité. Sont notamment des fonctionnaires les employés d'une administration publique et de la justice (art. 110 al. 3 CP ; ATF 142 IV 65 consid. 5.1). Pour que l'art. 320 CP s'applique, il faut que le secret ait été confié à l'auteur en sa qualité de membre d'une autorité ou de fonctionnaire ou qu'il en ait eu connaissance à raison de sa charge ou de son emploi (ATF 115 IV 233 consid. 2c aa). Ne sont dès lors pas couverts par le secret de fonction les faits touchant l'activité officielle de l'auteur que celui-ci a appris ou aurait pu apprendre, comme tout autre citoyen, en dehors de son service, ceux qu'il aurait pu apprendre sans autre à titre privé ou encore dont il aurait eu le droit d'être informé (ATF 115 IV 233 consid. 2c/bb ; arrêt du Tribunal fédéral 6B_532/2017 du 28 février 2018 consid. 2.1 = SJ 2018 I 260). Il n'y a ainsi pas de violation du secret si le destinataire en a déjà une connaissance fiable et complète (arrêts du Tribunal fédéral 6B_825/2019 et 6B_845/2019 du 6 mai 2021 consid. 5.4.1). 2.2.3. Le secret est un fait qui n'est connu que d'un nombre restreint de personnes, que son détenteur veut maintenir secret et dont le maintien répond à un intérêt. Il se définit matériellement, de sorte qu'il n'est pas nécessaire que l'autorité concernée ait déclaré secret le fait en question. Révèle un secret celui qui le confie à un tiers non habilité à le connaître ou qui permet que ce tiers en prenne connaissance (ATF 142 IV 65 consid. 5.1). Il ne peut s'agir d'un fait ayant déjà été rendu public ou qui est accessible sans difficulté à toute personne souhaitant en prendre connaissance (ATF 114 IV 44 consid. 2). Il faut en outre qu'il existe un intérêt légitime à ce que le fait soumis au secret ne soit connu que d'un cercle déterminé de personnes, et que le détenteur du secret veuille maintenir celui-ci (ATF 142 IV 65 consid. 5.1 et 127 IV 122 consid. 1). Cet intérêt peut être celui de la collectivité publique (Confédération, canton ou commune) ou celui de particuliers. Un indice de la présence d'un intérêt légitime au maintien du secret est donné lorsqu'une loi prévoit un devoir de discrétion du fonctionnaire ou du membre d'une autorité (arrêt du Tribunal fédéral 6B_105/2020 du 3 avril 2020 consid. 1.1). La volonté de tenir une information secrète peut résulter de la nature de l'information, des intérêts en jeu et de l'usage qui doit en être fait (M. DUPUIS / L. MOREILLON / C. PIGUET / S. BERGER / M. MAZOU / V. RODIGARI [éds], Code pénal - Petit commentaire, 2 e éd., Bâle 2017, n. 19 ad art. 320). Il n'y aura violation de la loi que si le tiers a effectivement pris connaissance du secret (M. DUPUIS et al. [éds], op. cit., n. 1 ad art. 320). 2.2.4. Dans une affaire récente (arrêt 6B_1034/2022 du 21 avril 2023), le Tribunal fédéral a notamment confirmé le reproche fait au prévenu d'avoir révélé l'existence et le contenu de pièces à conviction versées à un dossier d'investigation policière, soit d'avoir divulgué le fait même que la police disposait au dossier d'une investigation policière de photographies d'une manifestation, respectivement de moyens de preuves susceptibles de permettre l'identification de certains manifestants (consid. 1.4.1). La communication d'un fait négatif, tel que le fait qu'une personne n'est pas visée par une enquête ou qu'il n'y a pas de constatations policières contre une personne spécifique, constitue également un secret au sens de l'art. 320 CP (arrêts du Tribunal fédéral 6B_825/2019 et 6B_845/2019 du 6 mai 2021 consid. 5.3.3). 2.2.5. Au plan subjectif, l'infraction réprimée par l'art. 320 CP est intentionnelle. Le dol éventuel suffit (ATF 127 IV 122 consid. 1 ; arrêt du Tribunal fédéral 6B_1369/2016 du 20 juillet 2017 consid. 4.1). La négligence n'est pas punissable d'un point de vue pénal, mais peut avoir des conséquences disciplinaires (M. DUPUIS et al. [éds], op. cit., n. 32 ad art. 320). La négligence est l'imprévoyance coupable commise par celui qui, ne se rendant pas compte des conséquences de son acte, agit sans user des précautions commandées par les circonstances et sa situation personnelle (art. 12 al. 3 CP). 2.2.6.1. L'art. 320 ch. 2 CP prévoit que la révélation du secret n'est pas punissable dans la mesure où elle a été faite avec le consentement écrit de l'autorité supérieure. D'autres faits justificatifs légaux (par exemple les art. 74-75 CPP, 3c LStup, 104 LCR) ou extralégaux (consentement de la victime, sauvegarde d'intérêts légitimes) sont également susceptibles d'entrer en ligne de compte (arrêt du Tribunal fédéral 6B_572/2018 du 1 er octobre 2018 consid. 3.5.1). Dans la mesure où la révélation est licite en vertu d'une loi (art. 14 CP), il n'y a plus besoin d'obtenir le consentement de l'autorité supérieure afin de révéler le secret (M. DUPUIS et al. [éds], op. cit., n. 39 ad art. 320). 2.2.6.2. Le maître du secret est en principe l'autorité et non un particulier. Cela étant, on peut admettre comme fait justificatif – sur un plan purement pénal – le consentement de l'intéressé, lorsque la révélation porte sur les données personnelles d'un seul administré, que le secret ne touche que sa seule sphère privée et que ce dernier a donné son consentement à la divulgation desdites données. On ne peut en revanche pas l'admettre dans d'autres circonstances, et notamment lorsqu'il y a un intérêt indépendant au maintien du secret (A. MACALUSO / L. MOREILLON / N. QUELOZ [éds], Commentaire romand, Code pénal II, Bâle 2017, n. 52 ad art. 320 ; B. CORBOZ, Les infractions en droit suisse, vol. II, 3 e éd., Berne 2010, n. 47 ad art. 320). Même si la collectivité est en principe considérée comme le maître du secret, il reste à examiner dans chaque cas concret si, outre l'intérêt privé de l'individu, il existe effectivement un intérêt public autonome au maintien du secret. En l'absence d'un tel intérêt autonome de la collectivité, le consentement de la personne à la révélation du secret de fonction la concernant exclusivement doit avoir un effet justificatif (M. NIGGLI / H. WIPRÄCHTIGER [éds], Basler Kommentar Strafrecht II : Art. 137-392 StGB, Jugendstrafgesetz, 4 ème éd., Bâle 2019, n. 13 ad art. 320). Le consentement n'est en effet susceptible d'avoir un effet justificatif que si l'ayant-droit peut valablement disposer des intérêts lésés. Il faut en conséquence que l'acte lèse des intérêts particuliers. S'il s'agit d'une infraction au préjudice de la collectivité ou de l'État, le consentement du particulier lésé ne permettra pas de rendre l'acte licite. Quant au " consentement " de la collectivité, respectivement de l'État, il doit être analysé sous l'angle de l'autorisation et de l'exigence de la base légale (L. MOREILLON / A. MACALUSO / N. QUELOZ / N. DONGOIS (éds), Commentaire romand, Code pénal I, art. 1-110 CP, 2 ème éd., Bâle 2021, n. 66 à n. 70 ad art. 14). Le consentement peut être donné tacitement ou par actes concluants. Il peut aussi être donné sous réserve de la réalisation de conditions. Il est évident que pour être couverte par le consentement, l'action incriminée devra rester dans le cadre fixé par celui-ci. Ainsi, le consentement donné de manière générale, par exemple dans le cadre de conditions générales, ne sera en principe pas valable en droit pénal (L. MOREILLON et al. [éds], op. cit., n. 71 ad art. 14). 2.2.6.3. Le devoir de fonction peut constituer un fait justificatif (ATF 114 IV 44 consid. 3b = JdT 1989 IV 51). L'exercice d'une profession déterminée ne suffit cependant pas pour supprimer le caractère illicite d'un acte car celui qui l'exerce ne jouit pas pour autant de droits plus étendus que les autres citoyens. Encore faut-il pour rendre l'acte licite que le devoir de profession invoqué découle d'une norme juridique, écrite ou non (arrêt du Tribunal fédéral 6B_255/2007 du 11 octobre 2007 consid. 4.2). L'agent de police qui commet une infraction dans le cadre de l'accomplissement de ses fonctions peut faire valoir cette disposition s'il a agi dans le respect du principe de la proportionnalité (sur la question, cf. ATF 141 IV 417 consid. 3.2 ; arrêts du Tribunal fédéral 6B_689/2012 du 3 avril 2013 consid. 2.4 ; 6B_288/2009 du 13 août 2009 consid. 3.3 et 3.5 ; 6B_20/2009 du 14 avril 2009 consid. 4.1 et 4.4.2). Il faut donc se demander si le préjudice porté aux droits de tiers n'excède pas ce qui est nécessaire pour atteindre le but qui le justifie (ATF 107 IV 84 consid. 4 et 4a ; 94 IV 5 consid. 1 et 2a). 2.2.6.4. L'existence d'un motif justificatif non prévu par la loi, telle la sauvegarde d'intérêts légitimes, ne doit être admise que restrictivement. Sa reconnaissance est soumise à des exigences particulièrement sévères dans l'appréciation de la subsidiarité et de la proportionnalité. Ces conditions ne sont réunies que lorsque l'acte illicite ne constitue pas seulement un moyen nécessaire et approprié pour la défense d'intérêts légitimes d'une importance nettement supérieure à celle des biens protégés par la disposition violée, mais si cet acte constitue, en outre, le seul moyen possible pour cette défense. Ces conditions sont cumulatives (arrêt du Tribunal fédéral 6B_1369/2016 du 20 juillet 2017 consid. 6.1). 2.3.1. Celui qui croit pouvoir révéler un secret en raison de sa mission croit à l'existence d'un fait justificatif prévu par l'art. 14 CP et invoque en définitive une erreur sur l'illicéité (art. 21 CP) ; il faut donc qu'il ait eu des raisons suffisantes de se croire en droit d'agir, c'est-à-dire que l'on ne puisse lui reprocher de ne pas avoir correctement élucidé la question (B. CORBOZ, op. cit., n. 44 ad art. 320). 2.3.2. Aux termes de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La réglementation relative à l'erreur sur l'illicéité repose sur l'idée que le justiciable doit faire tout son possible pour connaître la loi et que son ignorance ne le protège que dans des cas exceptionnels. Pour exclure l'erreur de droit, il suffit que l'auteur ait eu le sentiment de faire quelque chose de contraire à ce qui se doit ou qu'il eût dû avoir ce sentiment. Toutefois, la possibilité théorique d'apprécier correctement la situation ne suffit pas à exclure l'application de l'art. 21, 1 ère phr., CP. Ce qui est déterminant, est de savoir si l'erreur de l'auteur peut lui être reprochée (ATF 141 IV 336 consid. 2.4.3 ; arrêt du Tribunal fédéral 6B_77/2019 du 11 février 2019 consid. 2.1 non publié aux ATF 145 IV 17 ). Les conséquences pénales d'une erreur sur l'illicéité dépendent ainsi de son caractère évitable ou inévitable. L'auteur qui commet une erreur inévitable est non coupable et doit être acquitté (art. 21, 1 ère phr., CP). Tel est le cas s'il a des raisons suffisantes de se croire en droit d'agir, c'est-à-dire lorsqu'aucun reproche ne peut lui être adressé parce que son erreur provient de circonstances qui auraient pu induire en erreur tout homme consciencieux. Celui dont l'erreur sur l'illicéité est évitable commet une faute, mais sa culpabilité est diminuée. Il restera punissable, mais verra sa peine obligatoirement atténuée (art. 21, 2 ème phr., CP). L'erreur sera notamment considérée comme évitable lorsque l'auteur avait ou aurait dû avoir des doutes quant à l'illicéité de son comportement ou s'il a négligé de s'informer suffisamment alors qu'il savait qu'une réglementation juridique existait (arrêt du Tribunal fédéral 6B_428/2021 du 18 novembre 2021 consid. 2.1).</w:t>
      </w:r>
    </w:p>
    <w:p>
      <w:r>
        <w:rPr>
          <w:b/>
        </w:rPr>
        <w:t>E. 2.4</w:t>
      </w:r>
    </w:p>
    <w:p>
      <w:r>
        <w:t>Selon l'art. 24 de la loi genevoise sur la police (LPol), le personnel de la police est tenu au devoir de réserve (al. 1). Il est tenu au secret pour toutes les informations dont il a connaissance dans l'exercice de ses fonctions dans la mesure où la loi sur l'information du public, l'accès aux documents et la protection des données personnelles du 5 octobre 2001, ou les instructions reçues ne lui permettent pas de les communiquer à autrui (al. 2). L'art. 73 CPP, qui fait obligation aux membres des autorités de poursuite pénale de garder le silence sur les faits qui parviennent à leur connaissance dans l'exercice de leur activité officielle, est réservé (al. 3). La violation du secret de fonction est sanctionnée par l'art. 320 CP, sans préjudice du prononcé de sanctions disciplinaires (al. 5). Le chef du département est l'autorité compétente pour lever le secret de fonction (al. 6). 2.5.1. L'art. 12 LProst oblige le responsable d'un salon à tenir constamment à jour et en tout temps à disposition de la police, à l'intérieur du salon, un registre mentionnant l'identité, le domicile, le type d'autorisation de séjour et/ou de travail et sa validité, les dates d'arrivée et de départ des personnes exerçant la prostitution dans le salon ainsi que les prestations qui leur sont fournies et les montants demandés en contrepartie (let. a). Il doit notamment s'assurer qu'elles ne contreviennent pas à la législation, notamment celle relative au séjour et au travail des étrangers (let. b). 2.5.2. À teneur de l'art. 2 al. 2 RProst, la police cantonale, soit pour elle la BTPI, est compétente pour recevoir les personnes qui se prostituent et procéder à leur enregistrement ainsi qu'à leur inscription dans le fichier des personnes qui se prostituent (let. a) ; recevoir les annonces des personnes qui cessent toute activité liée à la prostitution (let. b) ; recevoir les personnes responsables de salons et d'agences d'escorte et procéder à leur enregistrement (let. c) ; recevoir les communications et informations des personnes responsables de salons et d'agences d'escorte ainsi que les alertes en cas de constat d'infractions (let. d).</w:t>
      </w:r>
    </w:p>
    <w:p>
      <w:r>
        <w:rPr>
          <w:b/>
        </w:rPr>
        <w:t>E. 3</w:t>
      </w:r>
    </w:p>
    <w:p>
      <w:r>
        <w:t>3.1. La violation du secret de fonction est réprimée d'une peine privative de liberté de trois ans au plus ou d'une peine pécuniaire.</w:t>
      </w:r>
    </w:p>
    <w:p>
      <w:r>
        <w:rPr>
          <w:b/>
        </w:rPr>
        <w:t>E. 3.2</w:t>
      </w:r>
    </w:p>
    <w:p>
      <w:r>
        <w:t>Le nouveau droit des sanctions, entré en vigueur après la commission de certains faits (1 er janvier 2018), est plus favorable au prévenu lorsque seule une peine pécuniaire entre en ligne de compte, puisque le quantum de la peine menace est de 180 jours amende (art. 34 al. 1 CP) et non plus de 360 jours amende (arrêt du Tribunal fédéral 6B_712/2018 du 18 décembre 2019 consid. 3.1). Au regard de la peine qui sera fixée ci-après (cf. consid. 3.4), il convient d'appliquer celui-ci pour l'ensemble des faits reprochés afin de tenir compte du concours réel d'infractions (art. 2 al. 2 CP). 3.3.1.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3.3.2.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 3.3.3. Selon l'art. 42 al. 1 CP, le juge suspend l'exécution d'une peine pécuniaire ou d'une peine privative de liberté de deux ans au plus lorsqu'une peine ferme ne paraît pas nécessaire pour détourner l'auteur d'autres crimes ou délits. Si le juge suspend totalement l'exécution d'une peine, il impartit au condamné un délai d'épreuve de deux à cinq ans (art. 44 al. 1 CP). 3.3.4. Le juge peut prononcer, en plus d'une peine avec sursis, une amende selon l'art. 106 CP (art. 42 al. 4 CP). L'amende immédiate se justifie lorsque le sursis peut être octroyé, mais que, pour des motifs de prévention spéciale, une sanction ferme accompagnant la sanction avec sursis paraît mieux à même d'amener l'auteur à s'amender (ATF 134 IV 1 consid. 4.5.2 ; 134 IV 60 consid. 7.3.2). 3.3.5. Aux termes de l'art. 54 CP, si l'auteur a été directement atteint par les conséquences de son acte au point qu'une peine serait inappropriée, l'autorité compétente renonce à le poursuivre, à la renvoyer devant le juge ou à lui infliger une peine. Ne peut se prévaloir de cette disposition que celui qui est directement atteint par les conséquences de son acte. Tel est notamment le cas si l'auteur a subi des atteintes physiques résultant de la commission même de l'infraction, – par exemple s'il a été blessé lors de l'accident qu'il a provoqué – ou psychiques – comme celles qui affectent une mère de famille devenue veuve par suite de l'accident de la circulation qu'elle a causé.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(ATF 117 IV 245 consid. 2a). 3.4.1. Malgré l'acquittement partiel de l'appelant joint, sa faute n'est pas anodine. À trois reprises, il a transmis à un tiers non autorisé, par messages via son téléphone professionnel, des informations sensibles concernant tant des gérants de salons érotiques, potentiellement concurrents, que des travailleuses du sexe exerçant une profession dans laquelle elles sont particulièrement vulnérables, après avoir obtenu ces données dans le cadre de ses fonctions de policier. Ce faisant, il s'en est pris au bon fonctionnement des institutions publiques, à la confiance placée dans les autorités et à la protection de la sphère privée garantie à chaque citoyen. Il a agi par convenance personnelle, très certainement dans le but de maintenir des contacts étroits avec un dénonciateur reconnu afin de faciliter ses futures enquêtes, sans se soucier des conséquences potentielles de la transmission de telles informations à un tiers, et sans considération pour le droit à la protection des données des personnes concernées, ni pour la confidentialité des renseignements de la police. La situation personnelle de l'appelant joint ne justifie en rien son comportement. Au contraire, ses nombreuses années d'expérience dans la police, qui plus est pour la majorité d'entre elles dans un quartier sensible, auraient dû l'amener à agir conformément à la loi. Sa collaboration à la procédure a été partielle. Il a répondu à toutes les questions de manière précise, tout en cherchant à justifier et à légitimer ses agissements jusqu'en appel. Bien qu'embryonnaire, sa prise de conscience apparaît toutefois amorcée, l'appelant joint ayant concédé devant la CPAR un certain laxisme de sa part, concernant notamment les extraits nos 23 et 41 des conversations litigieuses. Il n'a pas d'antécédent, ce qui est un facteur neutre pour la peine. Contrairement à ce qu'a retenu le premier juge, l'exemption de peine en application de l'art. 54 CP n'entre pas en considération dès lors que, conformément à la jurisprudence susvisée, la séparation ou le licenciement consécutif à l'acte délictueux et ce, pour autant qu'un lien de causalité avec les actes commis soit établi, ne constituent que des conséquences indirectes de l'infraction, sans pertinence au regard de l'art. 54 CP. En toute hypothèse, vu la faute et la faible prise de conscience de l'intéressé, ainsi qu'à des fins de prévention spéciale, une telle exemption de peine ne se justifie nullement. 3.4.2. Le prononcé d'une peine pécuniaire, assortie du sursis, est acquis à l'appelant joint (art. 34 et 42 al. 1 CP, art. 391 al. 2 CPP). Une quotité de 50 jours-amende, à CHF 160.- l'unité, tient adéquatement compte de sa faute et de sa situation personnelle et économique, le montant du jour-amende retenu dans l'ordonnance pénale n'ayant du reste fait l'objet d'aucun grief. Un délai d'épreuve de deux ans apparaît suffisant (art. 44 al. 1 CP), compte tenu de la durée de la procédure et du fait que l'intéressé ne travaille plus dans la police. La sanction prononcée permettant d'atteindre les objectifs de prévention spéciale, il sera renoncé à infliger à l'appelant joint une amende à titre de sanction immédiate. Par conséquent, l'appel du MP est partiellement admis et le dispositif sera réformé dans la mesure qui précède.</w:t>
      </w:r>
    </w:p>
    <w:p>
      <w:r>
        <w:rPr>
          <w:b/>
        </w:rPr>
        <w:t>E. 4</w:t>
      </w:r>
    </w:p>
    <w:p>
      <w:r>
        <w:t>4.1. Selon l'art. 428 al. 1, première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 4.2.1. Le prévenu, appelant joint, qui succombe par moitié dans la mesure où il est condamné pour trois des six occurrences retenues dans l'ordonnance pénale, supportera 50 % des frais de la procédure préliminaire et de première instance. Le solde de ces frais sera laissé à la charge de l'État. 4.2.2. Il en va de même en appel, la moitié des frais, comprenant un émolument de jugement de CHF 2'000.-, sera mise à la charge du prévenu, le solde étant laissé à celle de l'État.</w:t>
      </w:r>
    </w:p>
    <w:p>
      <w:r>
        <w:rPr>
          <w:b/>
        </w:rPr>
        <w:t>E. 5</w:t>
      </w:r>
    </w:p>
    <w:p>
      <w:r>
        <w:t>5.1.1. La question de l'indemnisation doit être tranchée après celle des frais. Dans cette mesure, la question sur les frais préjuge de celle de l'indemnisation (arrêt du Tribunal fédéral 6B_262/2015 du 29 janvier 2016 consid. 1.2). 5.1.2.1. L'art. 429 al. 1 let. a CPP, applicable à l'appel via le renvoi de l'art. 436 al. 1 CPP, prévoit que s'il est acquitté totalement ou en partie le prévenu a droit à une indemnité pour les dépenses occasionnées par l'exercice raisonnable de ses droits de procédure. L'autorité pénale doit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La Cour de justice applique au chef d'étude un tarif horaire de CHF 450.- (arrêt du Tribunal fédéral 2C_725/2010 du 31 octobre 2011 = SJ 2012 I 172 ; ACPR/279/2014 du 27 mai 2014) ou de CHF 400.- ( ACPR/282/2014 du 30 mai 2014), notamment si l'avocat concerné avait lui-même calculé sa prétention à ce taux-là ( ACPR/377/2013 du 13 août 2013). 5.1.2.2. L'art. 429 al. 2 CPP prévoit que l'autorité pénale examine d'office les prétentions du prévenu. Il incombe à l'autorité pénale, à tout le moins, d'interpeller le prévenu sur la question de l'indemnité et de l'enjoindre au besoin de chiffrer et justifier ses prétentions en indemnisation. L'autorité pénale n'a en revanche pas à établir d'office tous les faits pertinents pour le jugement des prétentions en indemnisation (ATF 142 IV 237 consid. 1.3.1 ; arrêts du Tribunal fédéral 6B_1142/2016 du 18 mai 2017 consid. 2.1 ; 6B_477/2016 du 22 mars 2017 consid. 2.1). Il est certes loisible au prévenu de renoncer à être indemnisé, en principe à la faveur d'une déclaration formelle. Un comportement passif peut être interprété comme une renonciation lorsque le prévenu n'a pas réagi à la suite d'une demande expresse de l'autorité de chiffrer et justifier ses prétentions (arrêt du Tribunal fédéral 6B_472/2012 du 13 novembre 2012).</w:t>
      </w:r>
    </w:p>
    <w:p>
      <w:r>
        <w:rPr>
          <w:b/>
        </w:rPr>
        <w:t>E. 5.2</w:t>
      </w:r>
    </w:p>
    <w:p>
      <w:r>
        <w:t>S'agissant de l'indemnité sollicitée par le prévenu pour ses frais d'avocat, il convient de considérer, au vu du dossier, que l'assistance d'un avocat était, sur le principe, nécessaire. Eu égard à la quotité, dès lors que le prévenu doit assumer la moitié des frais de la procédure (cf. consid. 4.2), il sera fait droit à une telle indemnité dans la même mesure, en prenant toutefois en considération le classement partiel de la procédure intervenu au stade de la procédure préliminaire (cf. let. B.b.a.), ainsi que le temps effectif des audiences de jugement et d'appel.</w:t>
      </w:r>
    </w:p>
    <w:p>
      <w:r>
        <w:rPr>
          <w:b/>
        </w:rPr>
        <w:t>E. 5.2.1</w:t>
      </w:r>
    </w:p>
    <w:p>
      <w:r>
        <w:t>Pour la procédure de première instance, il convient en effet de prendre en compte la renonciation du prévenu à être indemnisé pour une partie de l'activité déployée par son conseil, dès lors qu'il n'a pas réagi à la demande expresse du MP de chiffrer et justifier ses prétentions lors du classement partiel de la procédure. Au vu de l'impossibilité de distinguer les activités de son avocat concernant les différentes occurrences initialement retenues jusqu'au classement partiel de la procédure (activités sur une période de 32 heures et 10 minutes ; cf. let. B.b.a. et B.d.c.b.), à l'exception du temps consacré à la prise de connaissance de l'ordonnance de classement et du courriel transmis au client à cet effet (20 minutes), lequel sera déduit de l'activité déployée, il convient de réduire de 30 % l'indemnité réclamée sur cette période, soit pour une activité de 31 heures et 50 minutes au tarif de CHF 450.-/heure (CHF 14'325.-). Le montant de la note d'honoraires retenu jusqu'au classement partiel sera ainsi de CHF 10'027.50 [CHF 70 % de CHF 14'325.-]. Pour le reste de l'activité déployée en première instance (23 heures et 20 minutes sur un total de 55 heures et 30 minutes ; cf. let. B.d.c.b.), il convient de ramener à 200 minutes la durée de l'audience de jugement, estimée dans la note d'honoraires à 240 minutes. Le montant sera ainsi arrêté à CHF 10'200.-, correspondant à 22 heures et 40 minutes d'activité au tarif de CHF 450.-/heure. Le montant total de l'activité déployée en première instance s'élève ainsi à CHF 20'227.50 (CHF 10'027.50 + CHF 10'200.-), auxquels s'ajoutent les frais de débours (CHF 751.90) et la TVA (CHF 1'615.45), soit CHF 22'594.85 en tout. Le prévenu ayant été acquitté pour la moitié des occurrences reprochées, l'indemnité sera réduite de 50 %. Ainsi, c'est un montant de CHF 11'297.45 [CHF 22'594.85 / 2] qui sera alloué au prévenu au titre d'indemnité pour la procédure de première instance.</w:t>
      </w:r>
    </w:p>
    <w:p>
      <w:r>
        <w:rPr>
          <w:b/>
        </w:rPr>
        <w:t>E. 5.2.2</w:t>
      </w:r>
    </w:p>
    <w:p>
      <w:r>
        <w:t>En appel, la note d'honoraires fait état d'une activité de 10 heures et 30 minutes à CHF 450.-/heure (cf. let. C.a.b.). La durée de l'audience, estimée à 120 minutes, sera portée à 160 minutes. Le montant sera ainsi arrondi à CHF 5'531.65, comprenant 11 heures et 10 minutes d'activité (CHF 5'025.-), les débours (CHF 111.15) et la TVA (CHF 395.50). Le prévenu ayant été acquitté pour la moitié des occurrences reprochées, l'indemnité sera également réduite de 50 %. Ainsi, c'est un montant de CHF 2'765.85 [(5'531.65) / 2] qui sera alloué au prévenu au titre d'indemnité pour la procédure d'appel.</w:t>
      </w:r>
    </w:p>
    <w:p>
      <w:r>
        <w:rPr>
          <w:b/>
        </w:rPr>
        <w:t>E. 5.2.3</w:t>
      </w:r>
    </w:p>
    <w:p>
      <w:r>
        <w:t>Ces montants seront compensés sur la dette de l'intéressé envers l'État en lien avec les frais de la présente procédure (cf. art. 442 al. 4 CPP et ATF 139 IV 243 consid. 5.2).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